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30"/>
        <w:jc w:val="end"/>
        <w:rPr>
          <w:rFonts w:eastAsia="Lucida Sans Unicode"/>
          <w:sz w:val="22"/>
          <w:szCs w:val="22"/>
        </w:rPr>
      </w:pPr>
      <w:r>
        <w:rPr>
          <w:rFonts w:eastAsia="Lucida Sans Unicode"/>
          <w:sz w:val="22"/>
          <w:szCs w:val="22"/>
        </w:rPr>
      </w:r>
    </w:p>
    <w:tbl>
      <w:tblPr>
        <w:tblW w:w="9211" w:type="dxa"/>
        <w:jc w:val="start"/>
        <w:tblInd w:w="10" w:type="dxa"/>
        <w:tblLayout w:type="fixed"/>
        <w:tblCellMar>
          <w:top w:w="55" w:type="dxa"/>
          <w:start w:w="55" w:type="dxa"/>
          <w:bottom w:w="55" w:type="dxa"/>
          <w:end w:w="55" w:type="dxa"/>
        </w:tblCellMar>
        <w:tblLook w:firstRow="1" w:noVBand="1" w:lastRow="0" w:firstColumn="1" w:lastColumn="0" w:noHBand="0" w:val="04a0"/>
      </w:tblPr>
      <w:tblGrid>
        <w:gridCol w:w="1797"/>
        <w:gridCol w:w="7413"/>
      </w:tblGrid>
      <w:tr>
        <w:trPr/>
        <w:tc>
          <w:tcPr>
            <w:tcW w:w="9210" w:type="dxa"/>
            <w:gridSpan w:val="2"/>
            <w:tcBorders>
              <w:top w:val="single" w:sz="2" w:space="0" w:color="000000"/>
              <w:start w:val="single" w:sz="2" w:space="0" w:color="000000"/>
              <w:bottom w:val="single" w:sz="2" w:space="0" w:color="000000"/>
              <w:end w:val="single" w:sz="2" w:space="0" w:color="000000"/>
            </w:tcBorders>
            <w:shd w:color="auto" w:fill="666666" w:val="clear"/>
            <w:vAlign w:val="center"/>
          </w:tcPr>
          <w:p>
            <w:pPr>
              <w:pStyle w:val="Zawartotabeli"/>
              <w:spacing w:lineRule="atLeast" w:line="200"/>
              <w:jc w:val="center"/>
              <w:rPr>
                <w:b/>
                <w:bCs/>
                <w:i/>
                <w:i/>
                <w:iCs/>
                <w:color w:val="FFFFFF"/>
                <w:sz w:val="44"/>
                <w:szCs w:val="44"/>
              </w:rPr>
            </w:pPr>
            <w:r>
              <w:rPr>
                <w:b/>
                <w:bCs/>
                <w:i/>
                <w:iCs/>
                <w:color w:val="FFFFFF"/>
                <w:sz w:val="44"/>
                <w:szCs w:val="44"/>
              </w:rPr>
              <w:t>BUDYNEK - C</w:t>
            </w:r>
          </w:p>
        </w:tc>
      </w:tr>
      <w:tr>
        <w:trPr/>
        <w:tc>
          <w:tcPr>
            <w:tcW w:w="9210" w:type="dxa"/>
            <w:gridSpan w:val="2"/>
            <w:tcBorders>
              <w:start w:val="single" w:sz="2" w:space="0" w:color="000000"/>
              <w:bottom w:val="single" w:sz="2" w:space="0" w:color="000000"/>
              <w:end w:val="single" w:sz="2" w:space="0" w:color="000000"/>
            </w:tcBorders>
            <w:shd w:color="auto" w:fill="666666" w:val="clear"/>
            <w:vAlign w:val="center"/>
          </w:tcPr>
          <w:p>
            <w:pPr>
              <w:pStyle w:val="Zawartotabeli"/>
              <w:spacing w:lineRule="atLeast" w:line="200"/>
              <w:jc w:val="center"/>
              <w:rPr>
                <w:b/>
                <w:bCs/>
                <w:i/>
                <w:i/>
                <w:iCs/>
                <w:color w:val="FFFFFF"/>
                <w:sz w:val="30"/>
                <w:szCs w:val="30"/>
              </w:rPr>
            </w:pPr>
            <w:r>
              <w:rPr>
                <w:b/>
                <w:bCs/>
                <w:i/>
                <w:iCs/>
                <w:color w:val="FFFFFF"/>
                <w:sz w:val="30"/>
                <w:szCs w:val="30"/>
              </w:rPr>
              <w:t>SPECYFIKACJA TECHNICZNA WYKONANIA I ODBIORU ROBÓT BUDOWLANYCH</w:t>
            </w:r>
          </w:p>
          <w:p>
            <w:pPr>
              <w:pStyle w:val="Zawartotabeli"/>
              <w:spacing w:lineRule="atLeast" w:line="200"/>
              <w:jc w:val="center"/>
              <w:rPr>
                <w:b/>
                <w:bCs/>
                <w:i/>
                <w:i/>
                <w:iCs/>
                <w:color w:val="FFFFFF"/>
                <w:sz w:val="42"/>
                <w:szCs w:val="42"/>
              </w:rPr>
            </w:pPr>
            <w:r>
              <w:rPr>
                <w:b/>
                <w:bCs/>
                <w:i/>
                <w:iCs/>
                <w:color w:val="FFFFFF"/>
                <w:sz w:val="42"/>
                <w:szCs w:val="42"/>
              </w:rPr>
              <w:t>BRANŻA - ELEKTRYCZNA</w:t>
            </w:r>
          </w:p>
        </w:tc>
      </w:tr>
      <w:tr>
        <w:trPr>
          <w:trHeight w:val="450" w:hRule="atLeast"/>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NAZWA  INWESTYCJI</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ind w:end="57"/>
              <w:jc w:val="center"/>
              <w:rPr>
                <w:sz w:val="24"/>
                <w:szCs w:val="24"/>
              </w:rPr>
            </w:pPr>
            <w:r>
              <w:rPr>
                <w:sz w:val="24"/>
                <w:szCs w:val="24"/>
              </w:rPr>
              <w:t>Remont pomieszczeń dydaktycznych w budynku „B” i „C”</w:t>
            </w:r>
          </w:p>
          <w:p>
            <w:pPr>
              <w:pStyle w:val="Zawartotabeli"/>
              <w:spacing w:lineRule="atLeast" w:line="200"/>
              <w:ind w:end="57"/>
              <w:jc w:val="center"/>
              <w:rPr>
                <w:sz w:val="24"/>
                <w:szCs w:val="24"/>
              </w:rPr>
            </w:pPr>
            <w:r>
              <w:rPr>
                <w:sz w:val="24"/>
                <w:szCs w:val="24"/>
              </w:rPr>
              <w:t>Zespołu Szkół Ponadpodstawowych Nr 2</w:t>
            </w:r>
          </w:p>
          <w:p>
            <w:pPr>
              <w:pStyle w:val="Zawartotabeli"/>
              <w:spacing w:lineRule="atLeast" w:line="200"/>
              <w:ind w:end="57"/>
              <w:jc w:val="center"/>
              <w:rPr>
                <w:sz w:val="24"/>
                <w:szCs w:val="24"/>
              </w:rPr>
            </w:pPr>
            <w:r>
              <w:rPr>
                <w:sz w:val="24"/>
                <w:szCs w:val="24"/>
              </w:rPr>
              <w:t>Centrum Kształcenia Zawodowego im. T. Kościuszki w Łowiczu,</w:t>
            </w:r>
          </w:p>
          <w:p>
            <w:pPr>
              <w:pStyle w:val="Zawartotabeli"/>
              <w:spacing w:lineRule="atLeast" w:line="200"/>
              <w:ind w:end="57"/>
              <w:jc w:val="center"/>
              <w:rPr>
                <w:sz w:val="24"/>
                <w:szCs w:val="24"/>
              </w:rPr>
            </w:pPr>
            <w:r>
              <w:rPr>
                <w:sz w:val="24"/>
                <w:szCs w:val="24"/>
              </w:rPr>
              <w:t>w ramach projektu pod nazwą:</w:t>
            </w:r>
          </w:p>
          <w:p>
            <w:pPr>
              <w:pStyle w:val="Zawartotabeli"/>
              <w:spacing w:lineRule="atLeast" w:line="200"/>
              <w:ind w:end="57"/>
              <w:jc w:val="center"/>
              <w:rPr/>
            </w:pPr>
            <w:r>
              <w:rPr>
                <w:sz w:val="24"/>
                <w:szCs w:val="24"/>
              </w:rPr>
              <w:t>„</w:t>
            </w:r>
            <w:r>
              <w:rPr>
                <w:sz w:val="24"/>
                <w:szCs w:val="24"/>
              </w:rPr>
              <w:t>Modernizacja pracowni warsztatowych do potrzeb zdobycia kwalifikacji branżowych na nowoczesnym rynku pracy</w:t>
            </w:r>
          </w:p>
          <w:p>
            <w:pPr>
              <w:pStyle w:val="Zawartotabeli"/>
              <w:spacing w:lineRule="atLeast" w:line="200"/>
              <w:ind w:end="57"/>
              <w:jc w:val="center"/>
              <w:rPr>
                <w:sz w:val="24"/>
              </w:rPr>
            </w:pPr>
            <w:r>
              <w:rPr>
                <w:sz w:val="24"/>
              </w:rPr>
              <w:t>mechanizacji rolnictwa”</w:t>
            </w:r>
          </w:p>
        </w:tc>
      </w:tr>
      <w:tr>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ADRES INWESTYCJI</w:t>
            </w:r>
          </w:p>
        </w:tc>
        <w:tc>
          <w:tcPr>
            <w:tcW w:w="7413" w:type="dxa"/>
            <w:tcBorders>
              <w:start w:val="single" w:sz="2" w:space="0" w:color="000000"/>
              <w:bottom w:val="single" w:sz="2" w:space="0" w:color="000000"/>
              <w:end w:val="single" w:sz="2" w:space="0" w:color="000000"/>
            </w:tcBorders>
            <w:shd w:color="auto" w:fill="FFFFFF" w:val="clear"/>
            <w:vAlign w:val="center"/>
          </w:tcPr>
          <w:p>
            <w:pPr>
              <w:pStyle w:val="Normal"/>
              <w:widowControl/>
              <w:spacing w:lineRule="auto" w:line="276"/>
              <w:ind w:end="57"/>
              <w:jc w:val="center"/>
              <w:rPr>
                <w:sz w:val="24"/>
                <w:szCs w:val="24"/>
              </w:rPr>
            </w:pPr>
            <w:r>
              <w:rPr>
                <w:sz w:val="24"/>
                <w:szCs w:val="24"/>
              </w:rPr>
              <w:t>ul. Blich 10, 99-400 Łowicz,</w:t>
            </w:r>
          </w:p>
          <w:p>
            <w:pPr>
              <w:pStyle w:val="Normal"/>
              <w:widowControl/>
              <w:spacing w:lineRule="auto" w:line="276"/>
              <w:ind w:end="57"/>
              <w:jc w:val="center"/>
              <w:rPr>
                <w:sz w:val="24"/>
                <w:szCs w:val="24"/>
              </w:rPr>
            </w:pPr>
            <w:r>
              <w:rPr>
                <w:sz w:val="24"/>
                <w:szCs w:val="24"/>
              </w:rPr>
              <w:t>dz. nr ewid. 1376/6, obręb: 0004 Korabka</w:t>
            </w:r>
          </w:p>
        </w:tc>
      </w:tr>
      <w:tr>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KATEGORIA BUDYNKU</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jc w:val="center"/>
              <w:rPr>
                <w:sz w:val="24"/>
                <w:szCs w:val="24"/>
              </w:rPr>
            </w:pPr>
            <w:r>
              <w:rPr>
                <w:sz w:val="24"/>
                <w:szCs w:val="24"/>
              </w:rPr>
              <w:t>IX – budynki szkolne</w:t>
            </w:r>
          </w:p>
        </w:tc>
      </w:tr>
      <w:tr>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IDENTYFIKATOR</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jc w:val="center"/>
              <w:rPr>
                <w:sz w:val="24"/>
                <w:szCs w:val="24"/>
              </w:rPr>
            </w:pPr>
            <w:r>
              <w:rPr>
                <w:sz w:val="24"/>
                <w:szCs w:val="24"/>
              </w:rPr>
              <w:t>100501_1.0004.1376/6</w:t>
            </w:r>
          </w:p>
        </w:tc>
      </w:tr>
      <w:tr>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ZAMAWIAJĄCY</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jc w:val="center"/>
              <w:rPr>
                <w:sz w:val="24"/>
                <w:szCs w:val="24"/>
              </w:rPr>
            </w:pPr>
            <w:r>
              <w:rPr>
                <w:sz w:val="24"/>
                <w:szCs w:val="24"/>
              </w:rPr>
              <w:t>Powiat Łowicki,  ul. Stanisławskiego 30,  99-400 Łowicz</w:t>
            </w:r>
          </w:p>
        </w:tc>
      </w:tr>
    </w:tbl>
    <w:p>
      <w:pPr>
        <w:pStyle w:val="Normal"/>
        <w:rPr/>
      </w:pPr>
      <w:r>
        <w:rPr/>
      </w:r>
    </w:p>
    <w:p>
      <w:pPr>
        <w:pStyle w:val="Normal"/>
        <w:rPr/>
      </w:pPr>
      <w:r>
        <w:rPr/>
      </w:r>
    </w:p>
    <w:tbl>
      <w:tblPr>
        <w:tblW w:w="9246" w:type="dxa"/>
        <w:jc w:val="start"/>
        <w:tblInd w:w="-1" w:type="dxa"/>
        <w:tblLayout w:type="fixed"/>
        <w:tblCellMar>
          <w:top w:w="55" w:type="dxa"/>
          <w:start w:w="55" w:type="dxa"/>
          <w:bottom w:w="55" w:type="dxa"/>
          <w:end w:w="55" w:type="dxa"/>
        </w:tblCellMar>
        <w:tblLook w:firstRow="1" w:noVBand="1" w:lastRow="0" w:firstColumn="1" w:lastColumn="0" w:noHBand="0" w:val="04a0"/>
      </w:tblPr>
      <w:tblGrid>
        <w:gridCol w:w="1692"/>
        <w:gridCol w:w="6126"/>
        <w:gridCol w:w="1428"/>
      </w:tblGrid>
      <w:tr>
        <w:trPr/>
        <w:tc>
          <w:tcPr>
            <w:tcW w:w="9246" w:type="dxa"/>
            <w:gridSpan w:val="3"/>
            <w:tcBorders>
              <w:top w:val="single" w:sz="2" w:space="0" w:color="000000"/>
              <w:start w:val="single" w:sz="2" w:space="0" w:color="000000"/>
              <w:bottom w:val="single" w:sz="2" w:space="0" w:color="000000"/>
              <w:end w:val="single" w:sz="2" w:space="0" w:color="000000"/>
            </w:tcBorders>
            <w:shd w:color="auto" w:fill="666666" w:val="clear"/>
          </w:tcPr>
          <w:p>
            <w:pPr>
              <w:pStyle w:val="Zawartotabeli"/>
              <w:rPr>
                <w:b/>
                <w:bCs/>
                <w:i/>
                <w:i/>
                <w:iCs/>
                <w:color w:val="FFFFFF"/>
                <w:sz w:val="24"/>
                <w:szCs w:val="24"/>
              </w:rPr>
            </w:pPr>
            <w:r>
              <w:rPr>
                <w:b/>
                <w:bCs/>
                <w:i/>
                <w:iCs/>
                <w:color w:val="FFFFFF"/>
                <w:sz w:val="24"/>
                <w:szCs w:val="24"/>
              </w:rPr>
              <w:t>OPRACOWANIE</w:t>
            </w:r>
          </w:p>
        </w:tc>
      </w:tr>
      <w:tr>
        <w:trPr/>
        <w:tc>
          <w:tcPr>
            <w:tcW w:w="1692" w:type="dxa"/>
            <w:tcBorders>
              <w:start w:val="single" w:sz="2" w:space="0" w:color="000000"/>
              <w:bottom w:val="single" w:sz="2" w:space="0" w:color="000000"/>
            </w:tcBorders>
            <w:shd w:color="auto" w:fill="666666" w:val="clear"/>
          </w:tcPr>
          <w:p>
            <w:pPr>
              <w:pStyle w:val="Zawartotabeli"/>
              <w:ind w:end="-1701"/>
              <w:rPr>
                <w:b/>
                <w:bCs/>
                <w:i/>
                <w:i/>
                <w:iCs/>
                <w:color w:val="FFFFFF"/>
                <w:sz w:val="22"/>
                <w:szCs w:val="22"/>
              </w:rPr>
            </w:pPr>
            <w:r>
              <w:rPr>
                <w:b/>
                <w:bCs/>
                <w:i/>
                <w:iCs/>
                <w:color w:val="FFFFFF"/>
                <w:sz w:val="22"/>
                <w:szCs w:val="22"/>
              </w:rPr>
              <w:t>BRANŻA</w:t>
            </w:r>
          </w:p>
        </w:tc>
        <w:tc>
          <w:tcPr>
            <w:tcW w:w="6126" w:type="dxa"/>
            <w:tcBorders>
              <w:start w:val="single" w:sz="2" w:space="0" w:color="000000"/>
              <w:bottom w:val="single" w:sz="2" w:space="0" w:color="000000"/>
            </w:tcBorders>
            <w:shd w:color="auto" w:fill="666666" w:val="clear"/>
          </w:tcPr>
          <w:p>
            <w:pPr>
              <w:pStyle w:val="Zawartotabeli"/>
              <w:spacing w:lineRule="atLeast" w:line="200"/>
              <w:rPr>
                <w:b/>
                <w:bCs/>
                <w:i/>
                <w:i/>
                <w:iCs/>
                <w:color w:val="FFFFFF"/>
                <w:sz w:val="22"/>
                <w:szCs w:val="22"/>
              </w:rPr>
            </w:pPr>
            <w:r>
              <w:rPr>
                <w:b/>
                <w:bCs/>
                <w:i/>
                <w:iCs/>
                <w:color w:val="FFFFFF"/>
                <w:sz w:val="22"/>
                <w:szCs w:val="22"/>
              </w:rPr>
              <w:t>PROJEKTANT</w:t>
            </w:r>
          </w:p>
        </w:tc>
        <w:tc>
          <w:tcPr>
            <w:tcW w:w="1428" w:type="dxa"/>
            <w:tcBorders>
              <w:start w:val="single" w:sz="2" w:space="0" w:color="000000"/>
              <w:bottom w:val="single" w:sz="2" w:space="0" w:color="000000"/>
              <w:end w:val="single" w:sz="2" w:space="0" w:color="000000"/>
            </w:tcBorders>
            <w:shd w:color="auto" w:fill="666666" w:val="clear"/>
          </w:tcPr>
          <w:p>
            <w:pPr>
              <w:pStyle w:val="Zawartotabeli"/>
              <w:rPr>
                <w:b/>
                <w:bCs/>
                <w:i/>
                <w:i/>
                <w:iCs/>
                <w:color w:val="FFFFFF"/>
                <w:sz w:val="22"/>
                <w:szCs w:val="22"/>
              </w:rPr>
            </w:pPr>
            <w:r>
              <w:rPr>
                <w:b/>
                <w:bCs/>
                <w:i/>
                <w:iCs/>
                <w:color w:val="FFFFFF"/>
                <w:sz w:val="22"/>
                <w:szCs w:val="22"/>
              </w:rPr>
              <w:t>PODPIS</w:t>
            </w:r>
          </w:p>
        </w:tc>
      </w:tr>
      <w:tr>
        <w:trPr/>
        <w:tc>
          <w:tcPr>
            <w:tcW w:w="1692" w:type="dxa"/>
            <w:vMerge w:val="restart"/>
            <w:tcBorders>
              <w:start w:val="single" w:sz="2" w:space="0" w:color="000000"/>
              <w:bottom w:val="single" w:sz="2" w:space="0" w:color="000000"/>
            </w:tcBorders>
          </w:tcPr>
          <w:p>
            <w:pPr>
              <w:pStyle w:val="Zawartotabeli"/>
              <w:ind w:end="-1701"/>
              <w:rPr>
                <w:sz w:val="22"/>
                <w:szCs w:val="22"/>
              </w:rPr>
            </w:pPr>
            <w:r>
              <w:rPr>
                <w:sz w:val="22"/>
                <w:szCs w:val="22"/>
              </w:rPr>
              <w:t>INSTALACJE</w:t>
            </w:r>
          </w:p>
          <w:p>
            <w:pPr>
              <w:pStyle w:val="Zawartotabeli"/>
              <w:ind w:end="-1701"/>
              <w:rPr>
                <w:sz w:val="22"/>
                <w:szCs w:val="22"/>
              </w:rPr>
            </w:pPr>
            <w:r>
              <w:rPr>
                <w:sz w:val="22"/>
                <w:szCs w:val="22"/>
              </w:rPr>
              <w:t>ELEKTRYCZNE</w:t>
            </w:r>
          </w:p>
          <w:p>
            <w:pPr>
              <w:pStyle w:val="Zawartotabeli"/>
              <w:ind w:end="-1701"/>
              <w:rPr>
                <w:sz w:val="22"/>
                <w:szCs w:val="22"/>
              </w:rPr>
            </w:pPr>
            <w:r>
              <w:rPr>
                <w:sz w:val="22"/>
                <w:szCs w:val="22"/>
              </w:rPr>
            </w:r>
          </w:p>
        </w:tc>
        <w:tc>
          <w:tcPr>
            <w:tcW w:w="6126" w:type="dxa"/>
            <w:tcBorders>
              <w:start w:val="single" w:sz="2" w:space="0" w:color="000000"/>
              <w:bottom w:val="single" w:sz="2" w:space="0" w:color="000000"/>
            </w:tcBorders>
          </w:tcPr>
          <w:p>
            <w:pPr>
              <w:pStyle w:val="Zawartotabeli"/>
              <w:spacing w:lineRule="atLeast" w:line="200"/>
              <w:rPr>
                <w:sz w:val="22"/>
                <w:szCs w:val="22"/>
                <w:u w:val="single"/>
              </w:rPr>
            </w:pPr>
            <w:r>
              <w:rPr>
                <w:sz w:val="22"/>
                <w:szCs w:val="22"/>
                <w:u w:val="single"/>
              </w:rPr>
              <w:t>Projektant:</w:t>
            </w:r>
          </w:p>
          <w:p>
            <w:pPr>
              <w:pStyle w:val="Zawartotabeli"/>
              <w:spacing w:lineRule="atLeast" w:line="200"/>
              <w:rPr>
                <w:sz w:val="22"/>
                <w:szCs w:val="22"/>
              </w:rPr>
            </w:pPr>
            <w:r>
              <w:rPr>
                <w:sz w:val="22"/>
                <w:szCs w:val="22"/>
              </w:rPr>
              <w:t>MGR INŻ. SEBASTIAN MICHTA</w:t>
            </w:r>
          </w:p>
          <w:p>
            <w:pPr>
              <w:pStyle w:val="Zawartotabeli"/>
              <w:spacing w:lineRule="atLeast" w:line="200"/>
              <w:rPr>
                <w:sz w:val="22"/>
                <w:szCs w:val="22"/>
              </w:rPr>
            </w:pPr>
            <w:r>
              <w:rPr>
                <w:sz w:val="22"/>
                <w:szCs w:val="22"/>
              </w:rPr>
              <w:t>upr. bud. w spec. inst. elektrycznych  nr SWK/0174/PWOE/11</w:t>
            </w:r>
          </w:p>
        </w:tc>
        <w:tc>
          <w:tcPr>
            <w:tcW w:w="1428" w:type="dxa"/>
            <w:tcBorders>
              <w:start w:val="single" w:sz="2" w:space="0" w:color="000000"/>
              <w:bottom w:val="single" w:sz="2" w:space="0" w:color="000000"/>
              <w:end w:val="single" w:sz="2" w:space="0" w:color="000000"/>
            </w:tcBorders>
          </w:tcPr>
          <w:p>
            <w:pPr>
              <w:pStyle w:val="Zawartotabeli"/>
              <w:snapToGrid w:val="false"/>
              <w:rPr>
                <w:sz w:val="22"/>
                <w:szCs w:val="22"/>
              </w:rPr>
            </w:pPr>
            <w:r>
              <w:rPr>
                <w:sz w:val="22"/>
                <w:szCs w:val="22"/>
              </w:rPr>
            </w:r>
          </w:p>
        </w:tc>
      </w:tr>
      <w:tr>
        <w:trPr/>
        <w:tc>
          <w:tcPr>
            <w:tcW w:w="1692" w:type="dxa"/>
            <w:vMerge w:val="continue"/>
            <w:tcBorders>
              <w:start w:val="single" w:sz="2" w:space="0" w:color="000000"/>
              <w:bottom w:val="single" w:sz="2" w:space="0" w:color="000000"/>
            </w:tcBorders>
          </w:tcPr>
          <w:p>
            <w:pPr>
              <w:pStyle w:val="Zawartotabeli"/>
              <w:snapToGrid w:val="false"/>
              <w:ind w:end="-1701"/>
              <w:rPr>
                <w:sz w:val="22"/>
                <w:szCs w:val="22"/>
              </w:rPr>
            </w:pPr>
            <w:r>
              <w:rPr>
                <w:sz w:val="22"/>
                <w:szCs w:val="22"/>
              </w:rPr>
            </w:r>
          </w:p>
        </w:tc>
        <w:tc>
          <w:tcPr>
            <w:tcW w:w="6126" w:type="dxa"/>
            <w:tcBorders>
              <w:start w:val="single" w:sz="2" w:space="0" w:color="000000"/>
              <w:bottom w:val="single" w:sz="2" w:space="0" w:color="000000"/>
            </w:tcBorders>
          </w:tcPr>
          <w:p>
            <w:pPr>
              <w:pStyle w:val="Zawartotabeli"/>
              <w:spacing w:lineRule="atLeast" w:line="200"/>
              <w:rPr>
                <w:sz w:val="22"/>
                <w:szCs w:val="22"/>
                <w:u w:val="single"/>
              </w:rPr>
            </w:pPr>
            <w:r>
              <w:rPr>
                <w:sz w:val="22"/>
                <w:szCs w:val="22"/>
                <w:u w:val="single"/>
              </w:rPr>
              <w:t>Współpraca - opracowanie:</w:t>
            </w:r>
          </w:p>
          <w:p>
            <w:pPr>
              <w:pStyle w:val="Zawartotabeli"/>
              <w:spacing w:lineRule="atLeast" w:line="200"/>
              <w:rPr>
                <w:sz w:val="22"/>
                <w:szCs w:val="22"/>
              </w:rPr>
            </w:pPr>
            <w:r>
              <w:rPr>
                <w:sz w:val="22"/>
                <w:szCs w:val="22"/>
              </w:rPr>
              <w:t>MGR INŻ. EWA PIOTROWICZ</w:t>
            </w:r>
          </w:p>
        </w:tc>
        <w:tc>
          <w:tcPr>
            <w:tcW w:w="1428" w:type="dxa"/>
            <w:tcBorders>
              <w:start w:val="single" w:sz="2" w:space="0" w:color="000000"/>
              <w:bottom w:val="single" w:sz="2" w:space="0" w:color="000000"/>
              <w:end w:val="single" w:sz="2" w:space="0" w:color="000000"/>
            </w:tcBorders>
          </w:tcPr>
          <w:p>
            <w:pPr>
              <w:pStyle w:val="Zawartotabeli"/>
              <w:snapToGrid w:val="false"/>
              <w:rPr>
                <w:sz w:val="22"/>
                <w:szCs w:val="22"/>
              </w:rPr>
            </w:pPr>
            <w:r>
              <w:rPr>
                <w:sz w:val="22"/>
                <w:szCs w:val="22"/>
              </w:rPr>
            </w:r>
          </w:p>
        </w:tc>
      </w:tr>
      <w:tr>
        <w:trPr/>
        <w:tc>
          <w:tcPr>
            <w:tcW w:w="9246" w:type="dxa"/>
            <w:gridSpan w:val="3"/>
            <w:tcBorders>
              <w:start w:val="single" w:sz="2" w:space="0" w:color="000000"/>
              <w:bottom w:val="single" w:sz="2" w:space="0" w:color="000000"/>
              <w:end w:val="single" w:sz="2" w:space="0" w:color="000000"/>
            </w:tcBorders>
            <w:shd w:color="auto" w:fill="666666" w:val="clear"/>
          </w:tcPr>
          <w:p>
            <w:pPr>
              <w:pStyle w:val="Zawartotabeli"/>
              <w:ind w:end="-1701"/>
              <w:rPr>
                <w:b/>
                <w:bCs/>
                <w:i/>
                <w:i/>
                <w:iCs/>
                <w:color w:val="FFFFFF"/>
                <w:sz w:val="24"/>
                <w:szCs w:val="24"/>
              </w:rPr>
            </w:pPr>
            <w:r>
              <w:rPr>
                <w:b/>
                <w:bCs/>
                <w:i/>
                <w:iCs/>
                <w:color w:val="FFFFFF"/>
                <w:sz w:val="24"/>
                <w:szCs w:val="24"/>
              </w:rPr>
              <w:t>DATA OPRACOWANIA: PAŹDZIERNIK – 2025r.</w:t>
            </w:r>
          </w:p>
        </w:tc>
      </w:tr>
    </w:tbl>
    <w:p>
      <w:pPr>
        <w:pStyle w:val="Normal"/>
        <w:rPr/>
      </w:pPr>
      <w:r>
        <w:rPr/>
      </w:r>
    </w:p>
    <w:p>
      <w:pPr>
        <w:pStyle w:val="Normal"/>
        <w:rPr>
          <w:b/>
          <w:bCs/>
          <w:i/>
          <w:i/>
          <w:iCs/>
          <w:u w:val="single"/>
        </w:rPr>
      </w:pPr>
      <w:r>
        <w:rPr>
          <w:b/>
          <w:bCs/>
          <w:i/>
          <w:iCs/>
          <w:u w:val="single"/>
        </w:rPr>
        <w:t xml:space="preserve">EGZ. NR       </w:t>
      </w:r>
    </w:p>
    <w:p>
      <w:pPr>
        <w:pStyle w:val="Normal"/>
        <w:rPr/>
      </w:pPr>
      <w:r>
        <w:rPr/>
      </w:r>
    </w:p>
    <w:p>
      <w:pPr>
        <w:pStyle w:val="Normal"/>
        <w:shd w:val="clear" w:color="auto" w:fill="FFFFFF"/>
        <w:ind w:start="426" w:end="423"/>
        <w:jc w:val="both"/>
        <w:rPr>
          <w:sz w:val="18"/>
        </w:rPr>
      </w:pPr>
      <w:r>
        <w:rPr>
          <w:sz w:val="18"/>
        </w:rPr>
      </w:r>
    </w:p>
    <w:p>
      <w:pPr>
        <w:pStyle w:val="BodyText"/>
        <w:numPr>
          <w:ilvl w:val="0"/>
          <w:numId w:val="0"/>
        </w:numPr>
        <w:spacing w:lineRule="auto" w:line="240" w:before="0" w:after="0"/>
        <w:ind w:hanging="0" w:start="0" w:end="0"/>
        <w:rPr/>
      </w:pPr>
      <w:r>
        <w:rPr>
          <w:rStyle w:val="Strong"/>
          <w:b w:val="false"/>
          <w:bCs w:val="false"/>
          <w:sz w:val="24"/>
          <w:szCs w:val="24"/>
          <w:u w:val="none"/>
        </w:rPr>
        <w:t xml:space="preserve">45310000-3 </w:t>
      </w:r>
      <w:r>
        <w:rPr>
          <w:b w:val="false"/>
          <w:bCs w:val="false"/>
          <w:sz w:val="24"/>
          <w:szCs w:val="24"/>
          <w:u w:val="none"/>
        </w:rPr>
        <w:t>– Roboty instalacyjne elektryczne</w:t>
      </w:r>
    </w:p>
    <w:p>
      <w:pPr>
        <w:pStyle w:val="BodyText"/>
        <w:numPr>
          <w:ilvl w:val="0"/>
          <w:numId w:val="0"/>
        </w:numPr>
        <w:spacing w:lineRule="auto" w:line="240" w:before="0" w:after="0"/>
        <w:ind w:hanging="0" w:start="0" w:end="0"/>
        <w:rPr/>
      </w:pPr>
      <w:r>
        <w:rPr>
          <w:b w:val="false"/>
          <w:bCs w:val="false"/>
          <w:sz w:val="24"/>
          <w:szCs w:val="24"/>
          <w:u w:val="none"/>
        </w:rPr>
        <w:t>45311200-2 – Roboty w zakresie instalacji elektrycznych</w:t>
      </w:r>
    </w:p>
    <w:p>
      <w:pPr>
        <w:pStyle w:val="BodyText"/>
        <w:numPr>
          <w:ilvl w:val="0"/>
          <w:numId w:val="0"/>
        </w:numPr>
        <w:spacing w:lineRule="auto" w:line="240" w:before="0" w:after="0"/>
        <w:ind w:hanging="0" w:start="0" w:end="0"/>
        <w:rPr/>
      </w:pPr>
      <w:r>
        <w:rPr>
          <w:b w:val="false"/>
          <w:bCs w:val="false"/>
          <w:sz w:val="24"/>
          <w:szCs w:val="24"/>
          <w:u w:val="none"/>
        </w:rPr>
        <w:t>45315300-1 – Instalacje zasilania elektrycznego</w:t>
      </w:r>
    </w:p>
    <w:p>
      <w:pPr>
        <w:pStyle w:val="BodyText"/>
        <w:numPr>
          <w:ilvl w:val="0"/>
          <w:numId w:val="0"/>
        </w:numPr>
        <w:spacing w:lineRule="auto" w:line="240" w:before="0" w:after="0"/>
        <w:ind w:hanging="0" w:start="0" w:end="0"/>
        <w:rPr/>
      </w:pPr>
      <w:r>
        <w:rPr>
          <w:b w:val="false"/>
          <w:bCs w:val="false"/>
          <w:sz w:val="24"/>
          <w:szCs w:val="24"/>
          <w:u w:val="none"/>
        </w:rPr>
        <w:t>45315100-9 – Instalacyjne roboty elektrotechniczne</w:t>
      </w:r>
    </w:p>
    <w:p>
      <w:pPr>
        <w:pStyle w:val="BodyText"/>
        <w:numPr>
          <w:ilvl w:val="0"/>
          <w:numId w:val="0"/>
        </w:numPr>
        <w:spacing w:lineRule="auto" w:line="240" w:before="0" w:after="0"/>
        <w:ind w:hanging="0" w:start="0" w:end="0"/>
        <w:rPr/>
      </w:pPr>
      <w:r>
        <w:rPr>
          <w:rStyle w:val="Strong"/>
          <w:b w:val="false"/>
          <w:bCs w:val="false"/>
          <w:sz w:val="24"/>
          <w:szCs w:val="24"/>
          <w:u w:val="none"/>
        </w:rPr>
        <w:t xml:space="preserve">45311000-0 </w:t>
      </w:r>
      <w:r>
        <w:rPr>
          <w:b w:val="false"/>
          <w:bCs w:val="false"/>
          <w:sz w:val="24"/>
          <w:szCs w:val="24"/>
          <w:u w:val="none"/>
        </w:rPr>
        <w:t>– Roboty w zakresie okablowania oraz instalacji elektrycznych</w:t>
      </w:r>
    </w:p>
    <w:p>
      <w:pPr>
        <w:pStyle w:val="BodyText"/>
        <w:numPr>
          <w:ilvl w:val="0"/>
          <w:numId w:val="0"/>
        </w:numPr>
        <w:spacing w:lineRule="auto" w:line="240" w:before="0" w:after="0"/>
        <w:ind w:hanging="0" w:start="0" w:end="0"/>
        <w:rPr>
          <w:rFonts w:ascii="Arial" w:hAnsi="Arial"/>
          <w:b w:val="false"/>
          <w:bCs w:val="false"/>
          <w:sz w:val="24"/>
          <w:szCs w:val="24"/>
          <w:u w:val="none"/>
        </w:rPr>
      </w:pPr>
      <w:r>
        <w:rPr>
          <w:b w:val="false"/>
          <w:bCs w:val="false"/>
          <w:sz w:val="24"/>
          <w:szCs w:val="24"/>
          <w:u w:val="none"/>
        </w:rPr>
        <w:t>45311100-0 – Instalacje gniazd wtykowych ogólnych</w:t>
      </w:r>
    </w:p>
    <w:p>
      <w:pPr>
        <w:pStyle w:val="BodyText"/>
        <w:numPr>
          <w:ilvl w:val="0"/>
          <w:numId w:val="0"/>
        </w:numPr>
        <w:spacing w:lineRule="auto" w:line="240" w:before="0" w:after="0"/>
        <w:ind w:hanging="0" w:start="0" w:end="0"/>
        <w:rPr>
          <w:rFonts w:ascii="Arial" w:hAnsi="Arial"/>
          <w:b w:val="false"/>
          <w:bCs w:val="false"/>
          <w:sz w:val="24"/>
          <w:szCs w:val="24"/>
          <w:u w:val="none"/>
        </w:rPr>
      </w:pPr>
      <w:r>
        <w:rPr>
          <w:b w:val="false"/>
          <w:bCs w:val="false"/>
          <w:sz w:val="24"/>
          <w:szCs w:val="24"/>
          <w:u w:val="none"/>
        </w:rPr>
        <w:t>45312311-0 – Instalacje oświetlenia</w:t>
      </w:r>
    </w:p>
    <w:p>
      <w:pPr>
        <w:pStyle w:val="BodyText"/>
        <w:numPr>
          <w:ilvl w:val="0"/>
          <w:numId w:val="0"/>
        </w:numPr>
        <w:spacing w:lineRule="auto" w:line="240"/>
        <w:ind w:hanging="0" w:start="0" w:end="0"/>
        <w:rPr>
          <w:sz w:val="24"/>
        </w:rPr>
      </w:pPr>
      <w:r>
        <w:rPr>
          <w:b w:val="false"/>
          <w:bCs w:val="false"/>
          <w:sz w:val="24"/>
          <w:szCs w:val="24"/>
          <w:u w:val="none"/>
        </w:rPr>
        <w:t>45315700-5 – Rozdzielnice elektryczne</w:t>
      </w:r>
    </w:p>
    <w:p>
      <w:pPr>
        <w:pStyle w:val="Normal"/>
        <w:shd w:val="clear" w:color="auto" w:fill="FFFFFF"/>
        <w:ind w:start="426" w:end="423"/>
        <w:jc w:val="both"/>
        <w:rPr>
          <w:sz w:val="24"/>
          <w:szCs w:val="24"/>
        </w:rPr>
      </w:pPr>
      <w:r>
        <w:rPr>
          <w:sz w:val="24"/>
          <w:szCs w:val="24"/>
        </w:rPr>
      </w:r>
      <w:bookmarkStart w:id="0" w:name="_Toc535218181"/>
      <w:bookmarkStart w:id="1" w:name="_Toc535218181"/>
      <w:bookmarkEnd w:id="1"/>
    </w:p>
    <w:sdt>
      <w:sdtPr>
        <w:docPartObj>
          <w:docPartGallery w:val="Table of Contents"/>
          <w:docPartUnique w:val="true"/>
        </w:docPartObj>
      </w:sdtPr>
      <w:sdtContent>
        <w:p>
          <w:pPr>
            <w:pStyle w:val="TOCHeading"/>
            <w:ind w:start="426" w:end="423"/>
            <w:rPr>
              <w:rFonts w:ascii="Arial" w:hAnsi="Arial" w:cs="Arial"/>
              <w:sz w:val="24"/>
              <w:szCs w:val="24"/>
            </w:rPr>
          </w:pPr>
          <w:bookmarkStart w:id="2" w:name="_Toc215176904"/>
          <w:bookmarkStart w:id="3" w:name="_Toc535218181_kopia_1"/>
          <w:bookmarkEnd w:id="3"/>
          <w:r>
            <w:rPr>
              <w:rFonts w:cs="Arial" w:ascii="Arial" w:hAnsi="Arial"/>
              <w:sz w:val="24"/>
              <w:szCs w:val="24"/>
            </w:rPr>
            <w:t>Spis treści</w:t>
          </w:r>
          <w:bookmarkEnd w:id="2"/>
        </w:p>
        <w:p>
          <w:pPr>
            <w:pStyle w:val="TOC1"/>
            <w:tabs>
              <w:tab w:val="clear" w:pos="708"/>
              <w:tab w:val="right" w:pos="9062" w:leader="dot"/>
            </w:tabs>
            <w:rPr>
              <w:rFonts w:ascii="Calibri" w:hAnsi="Calibri" w:eastAsia="" w:cs="" w:asciiTheme="minorHAnsi" w:cstheme="minorBidi" w:eastAsiaTheme="minorEastAsia" w:hAnsiTheme="minorHAnsi"/>
              <w:kern w:val="2"/>
              <w:sz w:val="24"/>
              <w:szCs w:val="24"/>
              <w14:ligatures w14:val="standardContextual"/>
            </w:rPr>
          </w:pPr>
          <w:r>
            <w:fldChar w:fldCharType="begin"/>
          </w:r>
          <w:r>
            <w:rPr>
              <w:webHidden/>
              <w:rStyle w:val="Czeindeksu"/>
              <w:vanish w:val="false"/>
              <w:rFonts w:eastAsia=""/>
            </w:rPr>
            <w:instrText xml:space="preserve"> TOC \z \o "1-3" \u \h</w:instrText>
          </w:r>
          <w:r>
            <w:rPr>
              <w:webHidden/>
              <w:rStyle w:val="Czeindeksu"/>
              <w:vanish w:val="false"/>
              <w:rFonts w:eastAsia=""/>
            </w:rPr>
            <w:fldChar w:fldCharType="separate"/>
          </w:r>
          <w:hyperlink w:anchor="_Toc215176904">
            <w:r>
              <w:rPr>
                <w:webHidden/>
                <w:rStyle w:val="Czeindeksu"/>
                <w:rFonts w:eastAsia="" w:eastAsiaTheme="majorEastAsia"/>
                <w:vanish w:val="false"/>
              </w:rPr>
              <w:t>Spis treści</w:t>
            </w:r>
            <w:r>
              <w:rPr>
                <w:webHidden/>
              </w:rPr>
              <w:fldChar w:fldCharType="begin"/>
            </w:r>
            <w:r>
              <w:rPr>
                <w:webHidden/>
              </w:rPr>
              <w:instrText xml:space="preserve">PAGEREF _Toc215176904 \h</w:instrText>
            </w:r>
            <w:r>
              <w:rPr>
                <w:webHidden/>
              </w:rPr>
              <w:fldChar w:fldCharType="separate"/>
            </w:r>
            <w:r>
              <w:rPr>
                <w:rStyle w:val="Czeindeksu"/>
                <w:vanish w:val="false"/>
              </w:rPr>
              <w:tab/>
              <w:t>2</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05">
            <w:r>
              <w:rPr>
                <w:webHidden/>
                <w:rStyle w:val="Czeindeksu"/>
                <w:rFonts w:eastAsia="" w:eastAsiaTheme="majorEastAsia"/>
                <w:vanish w:val="false"/>
              </w:rPr>
              <w:t>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CZĘŚĆ OGÓLNA</w:t>
            </w:r>
            <w:r>
              <w:rPr>
                <w:webHidden/>
              </w:rPr>
              <w:fldChar w:fldCharType="begin"/>
            </w:r>
            <w:r>
              <w:rPr>
                <w:webHidden/>
              </w:rPr>
              <w:instrText xml:space="preserve">PAGEREF _Toc215176905 \h</w:instrText>
            </w:r>
            <w:r>
              <w:rPr>
                <w:webHidden/>
              </w:rPr>
              <w:fldChar w:fldCharType="separate"/>
            </w:r>
            <w:r>
              <w:rPr>
                <w:rStyle w:val="Czeindeksu"/>
                <w:vanish w:val="false"/>
              </w:rPr>
              <w:tab/>
              <w:t>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06">
            <w:r>
              <w:rPr>
                <w:webHidden/>
                <w:rStyle w:val="Czeindeksu"/>
                <w:rFonts w:eastAsia="" w:eastAsiaTheme="majorEastAsia"/>
                <w:vanish w:val="false"/>
              </w:rPr>
              <w:t>1.1.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Przedmiot ST</w:t>
            </w:r>
            <w:r>
              <w:rPr>
                <w:webHidden/>
              </w:rPr>
              <w:fldChar w:fldCharType="begin"/>
            </w:r>
            <w:r>
              <w:rPr>
                <w:webHidden/>
              </w:rPr>
              <w:instrText xml:space="preserve">PAGEREF _Toc215176906 \h</w:instrText>
            </w:r>
            <w:r>
              <w:rPr>
                <w:webHidden/>
              </w:rPr>
              <w:fldChar w:fldCharType="separate"/>
            </w:r>
            <w:r>
              <w:rPr>
                <w:rStyle w:val="Czeindeksu"/>
                <w:vanish w:val="false"/>
              </w:rPr>
              <w:tab/>
              <w:t>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07">
            <w:r>
              <w:rPr>
                <w:webHidden/>
                <w:rStyle w:val="Czeindeksu"/>
                <w:rFonts w:eastAsia="" w:eastAsiaTheme="majorEastAsia"/>
                <w:vanish w:val="false"/>
              </w:rPr>
              <w:t>1.2.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Zakres stosowania ST</w:t>
            </w:r>
            <w:r>
              <w:rPr>
                <w:webHidden/>
              </w:rPr>
              <w:fldChar w:fldCharType="begin"/>
            </w:r>
            <w:r>
              <w:rPr>
                <w:webHidden/>
              </w:rPr>
              <w:instrText xml:space="preserve">PAGEREF _Toc215176907 \h</w:instrText>
            </w:r>
            <w:r>
              <w:rPr>
                <w:webHidden/>
              </w:rPr>
              <w:fldChar w:fldCharType="separate"/>
            </w:r>
            <w:r>
              <w:rPr>
                <w:rStyle w:val="Czeindeksu"/>
                <w:vanish w:val="false"/>
              </w:rPr>
              <w:tab/>
              <w:t>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08">
            <w:r>
              <w:rPr>
                <w:webHidden/>
                <w:rStyle w:val="Czeindeksu"/>
                <w:rFonts w:eastAsia="" w:eastAsiaTheme="majorEastAsia"/>
                <w:vanish w:val="false"/>
              </w:rPr>
              <w:t>1.3.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Przedmiot i zakres robót objętych ST</w:t>
            </w:r>
            <w:r>
              <w:rPr>
                <w:webHidden/>
              </w:rPr>
              <w:fldChar w:fldCharType="begin"/>
            </w:r>
            <w:r>
              <w:rPr>
                <w:webHidden/>
              </w:rPr>
              <w:instrText xml:space="preserve">PAGEREF _Toc215176908 \h</w:instrText>
            </w:r>
            <w:r>
              <w:rPr>
                <w:webHidden/>
              </w:rPr>
              <w:fldChar w:fldCharType="separate"/>
            </w:r>
            <w:r>
              <w:rPr>
                <w:rStyle w:val="Czeindeksu"/>
                <w:vanish w:val="false"/>
              </w:rPr>
              <w:tab/>
              <w:t>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09">
            <w:r>
              <w:rPr>
                <w:webHidden/>
                <w:rStyle w:val="Czeindeksu"/>
                <w:rFonts w:eastAsia="" w:eastAsiaTheme="majorEastAsia"/>
                <w:vanish w:val="false"/>
              </w:rPr>
              <w:t>1.4.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Zakres robót objętych SST</w:t>
            </w:r>
            <w:r>
              <w:rPr>
                <w:webHidden/>
              </w:rPr>
              <w:fldChar w:fldCharType="begin"/>
            </w:r>
            <w:r>
              <w:rPr>
                <w:webHidden/>
              </w:rPr>
              <w:instrText xml:space="preserve">PAGEREF _Toc215176909 \h</w:instrText>
            </w:r>
            <w:r>
              <w:rPr>
                <w:webHidden/>
              </w:rPr>
              <w:fldChar w:fldCharType="separate"/>
            </w:r>
            <w:r>
              <w:rPr>
                <w:rStyle w:val="Czeindeksu"/>
                <w:vanish w:val="false"/>
              </w:rPr>
              <w:tab/>
              <w:t>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0">
            <w:r>
              <w:rPr>
                <w:webHidden/>
                <w:rStyle w:val="Czeindeksu"/>
                <w:rFonts w:eastAsia="" w:eastAsiaTheme="majorEastAsia"/>
                <w:vanish w:val="false"/>
              </w:rPr>
              <w:t>1.5.</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Określenia podstawowe, definicje</w:t>
            </w:r>
            <w:r>
              <w:rPr>
                <w:webHidden/>
              </w:rPr>
              <w:fldChar w:fldCharType="begin"/>
            </w:r>
            <w:r>
              <w:rPr>
                <w:webHidden/>
              </w:rPr>
              <w:instrText xml:space="preserve">PAGEREF _Toc215176910 \h</w:instrText>
            </w:r>
            <w:r>
              <w:rPr>
                <w:webHidden/>
              </w:rPr>
              <w:fldChar w:fldCharType="separate"/>
            </w:r>
            <w:r>
              <w:rPr>
                <w:rStyle w:val="Czeindeksu"/>
                <w:vanish w:val="false"/>
              </w:rPr>
              <w:tab/>
              <w:t>4</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1">
            <w:r>
              <w:rPr>
                <w:webHidden/>
                <w:rStyle w:val="Czeindeksu"/>
                <w:rFonts w:eastAsia="" w:eastAsiaTheme="majorEastAsia"/>
                <w:vanish w:val="false"/>
              </w:rPr>
              <w:t>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wymagania dotyczące robót</w:t>
            </w:r>
            <w:r>
              <w:rPr>
                <w:webHidden/>
              </w:rPr>
              <w:fldChar w:fldCharType="begin"/>
            </w:r>
            <w:r>
              <w:rPr>
                <w:webHidden/>
              </w:rPr>
              <w:instrText xml:space="preserve">PAGEREF _Toc215176911 \h</w:instrText>
            </w:r>
            <w:r>
              <w:rPr>
                <w:webHidden/>
              </w:rPr>
              <w:fldChar w:fldCharType="separate"/>
            </w:r>
            <w:r>
              <w:rPr>
                <w:rStyle w:val="Czeindeksu"/>
                <w:vanish w:val="false"/>
              </w:rPr>
              <w:tab/>
              <w:t>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3">
            <w:r>
              <w:rPr>
                <w:webHidden/>
                <w:rStyle w:val="Czeindeksu"/>
                <w:rFonts w:eastAsia="" w:eastAsiaTheme="majorEastAsia"/>
                <w:vanish w:val="false"/>
              </w:rPr>
              <w:t>2.1.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Dokumentacja robót montażowych</w:t>
            </w:r>
            <w:r>
              <w:rPr>
                <w:webHidden/>
              </w:rPr>
              <w:fldChar w:fldCharType="begin"/>
            </w:r>
            <w:r>
              <w:rPr>
                <w:webHidden/>
              </w:rPr>
              <w:instrText xml:space="preserve">PAGEREF _Toc215176913 \h</w:instrText>
            </w:r>
            <w:r>
              <w:rPr>
                <w:webHidden/>
              </w:rPr>
              <w:fldChar w:fldCharType="separate"/>
            </w:r>
            <w:r>
              <w:rPr>
                <w:rStyle w:val="Czeindeksu"/>
                <w:vanish w:val="false"/>
              </w:rPr>
              <w:tab/>
              <w:t>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4">
            <w:r>
              <w:rPr>
                <w:webHidden/>
                <w:rStyle w:val="Czeindeksu"/>
                <w:rFonts w:eastAsia="" w:eastAsiaTheme="majorEastAsia"/>
                <w:vanish w:val="false"/>
              </w:rPr>
              <w:t>2.2.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Teren budowy</w:t>
            </w:r>
            <w:r>
              <w:rPr>
                <w:webHidden/>
              </w:rPr>
              <w:fldChar w:fldCharType="begin"/>
            </w:r>
            <w:r>
              <w:rPr>
                <w:webHidden/>
              </w:rPr>
              <w:instrText xml:space="preserve">PAGEREF _Toc215176914 \h</w:instrText>
            </w:r>
            <w:r>
              <w:rPr>
                <w:webHidden/>
              </w:rPr>
              <w:fldChar w:fldCharType="separate"/>
            </w:r>
            <w:r>
              <w:rPr>
                <w:rStyle w:val="Czeindeksu"/>
                <w:vanish w:val="false"/>
              </w:rPr>
              <w:tab/>
              <w:t>9</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5">
            <w:r>
              <w:rPr>
                <w:webHidden/>
                <w:rStyle w:val="Czeindeksu"/>
                <w:rFonts w:eastAsia="" w:eastAsiaTheme="majorEastAsia"/>
                <w:vanish w:val="false"/>
              </w:rPr>
              <w:t>2.3.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Powiązania prawne i odpowiedzialność prawna</w:t>
            </w:r>
            <w:r>
              <w:rPr>
                <w:webHidden/>
              </w:rPr>
              <w:fldChar w:fldCharType="begin"/>
            </w:r>
            <w:r>
              <w:rPr>
                <w:webHidden/>
              </w:rPr>
              <w:instrText xml:space="preserve">PAGEREF _Toc215176915 \h</w:instrText>
            </w:r>
            <w:r>
              <w:rPr>
                <w:webHidden/>
              </w:rPr>
              <w:fldChar w:fldCharType="separate"/>
            </w:r>
            <w:r>
              <w:rPr>
                <w:rStyle w:val="Czeindeksu"/>
                <w:vanish w:val="false"/>
              </w:rPr>
              <w:tab/>
              <w:t>11</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6">
            <w:r>
              <w:rPr>
                <w:webHidden/>
                <w:rStyle w:val="Czeindeksu"/>
                <w:rFonts w:eastAsia="" w:eastAsiaTheme="majorEastAsia"/>
                <w:vanish w:val="false"/>
              </w:rPr>
              <w:t>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WYMAGANIA DOTYCZĄCE WŁAŚCIWOŚCI MATERIAŁÓW</w:t>
            </w:r>
            <w:r>
              <w:rPr>
                <w:webHidden/>
              </w:rPr>
              <w:fldChar w:fldCharType="begin"/>
            </w:r>
            <w:r>
              <w:rPr>
                <w:webHidden/>
              </w:rPr>
              <w:instrText xml:space="preserve">PAGEREF _Toc215176916 \h</w:instrText>
            </w:r>
            <w:r>
              <w:rPr>
                <w:webHidden/>
              </w:rPr>
              <w:fldChar w:fldCharType="separate"/>
            </w:r>
            <w:r>
              <w:rPr>
                <w:rStyle w:val="Czeindeksu"/>
                <w:vanish w:val="false"/>
              </w:rPr>
              <w:tab/>
              <w:t>13</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7">
            <w:r>
              <w:rPr>
                <w:webHidden/>
                <w:rStyle w:val="Czeindeksu"/>
                <w:rFonts w:eastAsia="" w:eastAsiaTheme="majorEastAsia"/>
                <w:vanish w:val="false"/>
              </w:rPr>
              <w:t>3.1.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wymagania dotyczące właściwości materiałów, ich pozyskiwania i składowania podano w ST „Wymagania ogólne"</w:t>
            </w:r>
            <w:r>
              <w:rPr>
                <w:webHidden/>
              </w:rPr>
              <w:fldChar w:fldCharType="begin"/>
            </w:r>
            <w:r>
              <w:rPr>
                <w:webHidden/>
              </w:rPr>
              <w:instrText xml:space="preserve">PAGEREF _Toc215176917 \h</w:instrText>
            </w:r>
            <w:r>
              <w:rPr>
                <w:webHidden/>
              </w:rPr>
              <w:fldChar w:fldCharType="separate"/>
            </w:r>
            <w:r>
              <w:rPr>
                <w:rStyle w:val="Czeindeksu"/>
                <w:vanish w:val="false"/>
              </w:rPr>
              <w:tab/>
              <w:t>15</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8">
            <w:r>
              <w:rPr>
                <w:webHidden/>
                <w:rStyle w:val="Czeindeksu"/>
                <w:rFonts w:eastAsia="" w:eastAsiaTheme="majorEastAsia"/>
                <w:vanish w:val="false"/>
              </w:rPr>
              <w:t>3.2.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Rodzaje materiałów</w:t>
            </w:r>
            <w:r>
              <w:rPr>
                <w:webHidden/>
              </w:rPr>
              <w:fldChar w:fldCharType="begin"/>
            </w:r>
            <w:r>
              <w:rPr>
                <w:webHidden/>
              </w:rPr>
              <w:instrText xml:space="preserve">PAGEREF _Toc215176918 \h</w:instrText>
            </w:r>
            <w:r>
              <w:rPr>
                <w:webHidden/>
              </w:rPr>
              <w:fldChar w:fldCharType="separate"/>
            </w:r>
            <w:r>
              <w:rPr>
                <w:rStyle w:val="Czeindeksu"/>
                <w:vanish w:val="false"/>
              </w:rPr>
              <w:tab/>
              <w:t>15</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19">
            <w:r>
              <w:rPr>
                <w:webHidden/>
                <w:rStyle w:val="Czeindeksu"/>
                <w:rFonts w:eastAsia="" w:eastAsiaTheme="majorEastAsia"/>
                <w:vanish w:val="false"/>
              </w:rPr>
              <w:t>3.2.1.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Kable i przewody</w:t>
            </w:r>
            <w:r>
              <w:rPr>
                <w:webHidden/>
              </w:rPr>
              <w:fldChar w:fldCharType="begin"/>
            </w:r>
            <w:r>
              <w:rPr>
                <w:webHidden/>
              </w:rPr>
              <w:instrText xml:space="preserve">PAGEREF _Toc215176919 \h</w:instrText>
            </w:r>
            <w:r>
              <w:rPr>
                <w:webHidden/>
              </w:rPr>
              <w:fldChar w:fldCharType="separate"/>
            </w:r>
            <w:r>
              <w:rPr>
                <w:rStyle w:val="Czeindeksu"/>
                <w:vanish w:val="false"/>
              </w:rPr>
              <w:tab/>
              <w:t>15</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0">
            <w:r>
              <w:rPr>
                <w:webHidden/>
                <w:rStyle w:val="Czeindeksu"/>
                <w:rFonts w:eastAsia="" w:eastAsiaTheme="majorEastAsia"/>
                <w:vanish w:val="false"/>
              </w:rPr>
              <w:t>3.2.2.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Osprzęt instalacyjny do kabli i przewodów</w:t>
            </w:r>
            <w:r>
              <w:rPr>
                <w:webHidden/>
              </w:rPr>
              <w:fldChar w:fldCharType="begin"/>
            </w:r>
            <w:r>
              <w:rPr>
                <w:webHidden/>
              </w:rPr>
              <w:instrText xml:space="preserve">PAGEREF _Toc215176920 \h</w:instrText>
            </w:r>
            <w:r>
              <w:rPr>
                <w:webHidden/>
              </w:rPr>
              <w:fldChar w:fldCharType="separate"/>
            </w:r>
            <w:r>
              <w:rPr>
                <w:rStyle w:val="Czeindeksu"/>
                <w:vanish w:val="false"/>
              </w:rPr>
              <w:tab/>
              <w:t>16</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1">
            <w:r>
              <w:rPr>
                <w:webHidden/>
                <w:rStyle w:val="Czeindeksu"/>
                <w:rFonts w:eastAsia="" w:eastAsiaTheme="majorEastAsia"/>
                <w:vanish w:val="false"/>
              </w:rPr>
              <w:t>3.2.3.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Osprzęt instalacyjny</w:t>
            </w:r>
            <w:r>
              <w:rPr>
                <w:webHidden/>
              </w:rPr>
              <w:fldChar w:fldCharType="begin"/>
            </w:r>
            <w:r>
              <w:rPr>
                <w:webHidden/>
              </w:rPr>
              <w:instrText xml:space="preserve">PAGEREF _Toc215176921 \h</w:instrText>
            </w:r>
            <w:r>
              <w:rPr>
                <w:webHidden/>
              </w:rPr>
              <w:fldChar w:fldCharType="separate"/>
            </w:r>
            <w:r>
              <w:rPr>
                <w:rStyle w:val="Czeindeksu"/>
                <w:vanish w:val="false"/>
              </w:rPr>
              <w:tab/>
              <w:t>17</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2">
            <w:r>
              <w:rPr>
                <w:webHidden/>
                <w:rStyle w:val="Czeindeksu"/>
                <w:rFonts w:eastAsia="" w:eastAsiaTheme="majorEastAsia"/>
                <w:vanish w:val="false"/>
              </w:rPr>
              <w:t>3.2.4.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Gniazda wtykowe ogólnego przeznaczenia do montażu w instalacjach podtynkowych, natynkowych i natynkowo-wtynkowych:</w:t>
            </w:r>
            <w:r>
              <w:rPr>
                <w:webHidden/>
              </w:rPr>
              <w:fldChar w:fldCharType="begin"/>
            </w:r>
            <w:r>
              <w:rPr>
                <w:webHidden/>
              </w:rPr>
              <w:instrText xml:space="preserve">PAGEREF _Toc215176922 \h</w:instrText>
            </w:r>
            <w:r>
              <w:rPr>
                <w:webHidden/>
              </w:rPr>
              <w:fldChar w:fldCharType="separate"/>
            </w:r>
            <w:r>
              <w:rPr>
                <w:rStyle w:val="Czeindeksu"/>
                <w:vanish w:val="false"/>
              </w:rPr>
              <w:tab/>
              <w:t>17</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3">
            <w:r>
              <w:rPr>
                <w:webHidden/>
                <w:rStyle w:val="Czeindeksu"/>
                <w:rFonts w:eastAsia="" w:eastAsiaTheme="majorEastAsia"/>
                <w:vanish w:val="false"/>
              </w:rPr>
              <w:t>3.2.5.</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Osprzęt oświetleniowy</w:t>
            </w:r>
            <w:r>
              <w:rPr>
                <w:webHidden/>
              </w:rPr>
              <w:fldChar w:fldCharType="begin"/>
            </w:r>
            <w:r>
              <w:rPr>
                <w:webHidden/>
              </w:rPr>
              <w:instrText xml:space="preserve">PAGEREF _Toc215176923 \h</w:instrText>
            </w:r>
            <w:r>
              <w:rPr>
                <w:webHidden/>
              </w:rPr>
              <w:fldChar w:fldCharType="separate"/>
            </w:r>
            <w:r>
              <w:rPr>
                <w:rStyle w:val="Czeindeksu"/>
                <w:vanish w:val="false"/>
              </w:rPr>
              <w:tab/>
              <w:t>17</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4">
            <w:r>
              <w:rPr>
                <w:webHidden/>
                <w:rStyle w:val="Czeindeksu"/>
                <w:rFonts w:eastAsia="" w:eastAsiaTheme="majorEastAsia"/>
                <w:vanish w:val="false"/>
              </w:rPr>
              <w:t>3.2.6.</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Tablice rozdzielcze</w:t>
            </w:r>
            <w:r>
              <w:rPr>
                <w:webHidden/>
              </w:rPr>
              <w:fldChar w:fldCharType="begin"/>
            </w:r>
            <w:r>
              <w:rPr>
                <w:webHidden/>
              </w:rPr>
              <w:instrText xml:space="preserve">PAGEREF _Toc215176924 \h</w:instrText>
            </w:r>
            <w:r>
              <w:rPr>
                <w:webHidden/>
              </w:rPr>
              <w:fldChar w:fldCharType="separate"/>
            </w:r>
            <w:r>
              <w:rPr>
                <w:rStyle w:val="Czeindeksu"/>
                <w:vanish w:val="false"/>
              </w:rPr>
              <w:tab/>
              <w:t>18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5">
            <w:r>
              <w:rPr>
                <w:webHidden/>
                <w:rStyle w:val="Czeindeksu"/>
                <w:rFonts w:eastAsia="" w:eastAsiaTheme="majorEastAsia"/>
                <w:vanish w:val="false"/>
              </w:rPr>
              <w:t>3.3.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Warunki przyjęcia na budowę materiałów do robót montażowych</w:t>
            </w:r>
            <w:r>
              <w:rPr>
                <w:webHidden/>
              </w:rPr>
              <w:fldChar w:fldCharType="begin"/>
            </w:r>
            <w:r>
              <w:rPr>
                <w:webHidden/>
              </w:rPr>
              <w:instrText xml:space="preserve">PAGEREF _Toc215176925 \h</w:instrText>
            </w:r>
            <w:r>
              <w:rPr>
                <w:webHidden/>
              </w:rPr>
              <w:fldChar w:fldCharType="separate"/>
            </w:r>
            <w:r>
              <w:rPr>
                <w:rStyle w:val="Czeindeksu"/>
                <w:vanish w:val="false"/>
              </w:rPr>
              <w:tab/>
              <w:t>18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6">
            <w:r>
              <w:rPr>
                <w:webHidden/>
                <w:rStyle w:val="Czeindeksu"/>
                <w:rFonts w:eastAsia="" w:eastAsiaTheme="majorEastAsia"/>
                <w:vanish w:val="false"/>
              </w:rPr>
              <w:t>3.4.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Warunki przechowywania materiałów</w:t>
            </w:r>
            <w:r>
              <w:rPr>
                <w:webHidden/>
              </w:rPr>
              <w:fldChar w:fldCharType="begin"/>
            </w:r>
            <w:r>
              <w:rPr>
                <w:webHidden/>
              </w:rPr>
              <w:instrText xml:space="preserve">PAGEREF _Toc215176926 \h</w:instrText>
            </w:r>
            <w:r>
              <w:rPr>
                <w:webHidden/>
              </w:rPr>
              <w:fldChar w:fldCharType="separate"/>
            </w:r>
            <w:r>
              <w:rPr>
                <w:rStyle w:val="Czeindeksu"/>
                <w:vanish w:val="false"/>
              </w:rPr>
              <w:tab/>
              <w:t>19</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7">
            <w:r>
              <w:rPr>
                <w:webHidden/>
                <w:rStyle w:val="Czeindeksu"/>
                <w:rFonts w:eastAsia="" w:eastAsiaTheme="majorEastAsia"/>
                <w:vanish w:val="false"/>
              </w:rPr>
              <w:t>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WYMAGANIA DOTYCZĄCE SPRZĘTU, MASZYN I NARZĘDZI</w:t>
            </w:r>
            <w:r>
              <w:rPr>
                <w:webHidden/>
              </w:rPr>
              <w:fldChar w:fldCharType="begin"/>
            </w:r>
            <w:r>
              <w:rPr>
                <w:webHidden/>
              </w:rPr>
              <w:instrText xml:space="preserve">PAGEREF _Toc215176927 \h</w:instrText>
            </w:r>
            <w:r>
              <w:rPr>
                <w:webHidden/>
              </w:rPr>
              <w:fldChar w:fldCharType="separate"/>
            </w:r>
            <w:r>
              <w:rPr>
                <w:rStyle w:val="Czeindeksu"/>
                <w:vanish w:val="false"/>
              </w:rPr>
              <w:tab/>
              <w:t>19</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8">
            <w:r>
              <w:rPr>
                <w:webHidden/>
                <w:rStyle w:val="Czeindeksu"/>
                <w:rFonts w:eastAsia="" w:eastAsiaTheme="majorEastAsia"/>
                <w:vanish w:val="false"/>
              </w:rPr>
              <w:t>4.1.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wymagania dotyczące sprzętu podano w ST „Wymagania ogólne"</w:t>
            </w:r>
            <w:r>
              <w:rPr>
                <w:webHidden/>
              </w:rPr>
              <w:fldChar w:fldCharType="begin"/>
            </w:r>
            <w:r>
              <w:rPr>
                <w:webHidden/>
              </w:rPr>
              <w:instrText xml:space="preserve">PAGEREF _Toc215176928 \h</w:instrText>
            </w:r>
            <w:r>
              <w:rPr>
                <w:webHidden/>
              </w:rPr>
              <w:fldChar w:fldCharType="separate"/>
            </w:r>
            <w:r>
              <w:rPr>
                <w:rStyle w:val="Czeindeksu"/>
                <w:vanish w:val="false"/>
              </w:rPr>
              <w:tab/>
              <w:t>19</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29">
            <w:r>
              <w:rPr>
                <w:webHidden/>
                <w:rStyle w:val="Czeindeksu"/>
                <w:rFonts w:eastAsia="" w:eastAsiaTheme="majorEastAsia"/>
                <w:vanish w:val="false"/>
              </w:rPr>
              <w:t>5.</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WYMAGANIA DOTYCZĄCE TRANSPORTU</w:t>
            </w:r>
            <w:r>
              <w:rPr>
                <w:webHidden/>
              </w:rPr>
              <w:fldChar w:fldCharType="begin"/>
            </w:r>
            <w:r>
              <w:rPr>
                <w:webHidden/>
              </w:rPr>
              <w:instrText xml:space="preserve">PAGEREF _Toc215176929 \h</w:instrText>
            </w:r>
            <w:r>
              <w:rPr>
                <w:webHidden/>
              </w:rPr>
              <w:fldChar w:fldCharType="separate"/>
            </w:r>
            <w:r>
              <w:rPr>
                <w:rStyle w:val="Czeindeksu"/>
                <w:vanish w:val="false"/>
              </w:rPr>
              <w:tab/>
              <w:t>20</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0">
            <w:r>
              <w:rPr>
                <w:webHidden/>
                <w:rStyle w:val="Czeindeksu"/>
                <w:rFonts w:eastAsia="" w:eastAsiaTheme="majorEastAsia"/>
                <w:vanish w:val="false"/>
              </w:rPr>
              <w:t>5.1.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wymagania dotyczące transportu podano w ST „Wymagania ogólne"</w:t>
            </w:r>
            <w:r>
              <w:rPr>
                <w:webHidden/>
              </w:rPr>
              <w:fldChar w:fldCharType="begin"/>
            </w:r>
            <w:r>
              <w:rPr>
                <w:webHidden/>
              </w:rPr>
              <w:instrText xml:space="preserve">PAGEREF _Toc215176930 \h</w:instrText>
            </w:r>
            <w:r>
              <w:rPr>
                <w:webHidden/>
              </w:rPr>
              <w:fldChar w:fldCharType="separate"/>
            </w:r>
            <w:r>
              <w:rPr>
                <w:rStyle w:val="Czeindeksu"/>
                <w:vanish w:val="false"/>
              </w:rPr>
              <w:tab/>
              <w:t>20</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1">
            <w:r>
              <w:rPr>
                <w:webHidden/>
                <w:rStyle w:val="Czeindeksu"/>
                <w:rFonts w:eastAsia="" w:eastAsiaTheme="majorEastAsia"/>
                <w:vanish w:val="false"/>
              </w:rPr>
              <w:t>5.2.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Transport materiałów</w:t>
            </w:r>
            <w:r>
              <w:rPr>
                <w:webHidden/>
              </w:rPr>
              <w:fldChar w:fldCharType="begin"/>
            </w:r>
            <w:r>
              <w:rPr>
                <w:webHidden/>
              </w:rPr>
              <w:instrText xml:space="preserve">PAGEREF _Toc215176931 \h</w:instrText>
            </w:r>
            <w:r>
              <w:rPr>
                <w:webHidden/>
              </w:rPr>
              <w:fldChar w:fldCharType="separate"/>
            </w:r>
            <w:r>
              <w:rPr>
                <w:rStyle w:val="Czeindeksu"/>
                <w:vanish w:val="false"/>
              </w:rPr>
              <w:tab/>
              <w:t>20</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2">
            <w:r>
              <w:rPr>
                <w:webHidden/>
                <w:rStyle w:val="Czeindeksu"/>
                <w:rFonts w:eastAsia="" w:eastAsiaTheme="majorEastAsia"/>
                <w:vanish w:val="false"/>
              </w:rPr>
              <w:t>6.</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WYMAGANIA DOTYCZĄCE WYKONANIA ROBÓT</w:t>
            </w:r>
            <w:r>
              <w:rPr>
                <w:webHidden/>
              </w:rPr>
              <w:fldChar w:fldCharType="begin"/>
            </w:r>
            <w:r>
              <w:rPr>
                <w:webHidden/>
              </w:rPr>
              <w:instrText xml:space="preserve">PAGEREF _Toc215176932 \h</w:instrText>
            </w:r>
            <w:r>
              <w:rPr>
                <w:webHidden/>
              </w:rPr>
              <w:fldChar w:fldCharType="separate"/>
            </w:r>
            <w:r>
              <w:rPr>
                <w:rStyle w:val="Czeindeksu"/>
                <w:vanish w:val="false"/>
              </w:rPr>
              <w:tab/>
              <w:t>20</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3">
            <w:r>
              <w:rPr>
                <w:webHidden/>
                <w:rStyle w:val="Czeindeksu"/>
                <w:rFonts w:eastAsia="" w:eastAsiaTheme="majorEastAsia"/>
                <w:vanish w:val="false"/>
              </w:rPr>
              <w:t>6.1.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zasady wykonania robót podano w ST „Wymagania ogólne"</w:t>
            </w:r>
            <w:r>
              <w:rPr>
                <w:webHidden/>
              </w:rPr>
              <w:fldChar w:fldCharType="begin"/>
            </w:r>
            <w:r>
              <w:rPr>
                <w:webHidden/>
              </w:rPr>
              <w:instrText xml:space="preserve">PAGEREF _Toc215176933 \h</w:instrText>
            </w:r>
            <w:r>
              <w:rPr>
                <w:webHidden/>
              </w:rPr>
              <w:fldChar w:fldCharType="separate"/>
            </w:r>
            <w:r>
              <w:rPr>
                <w:rStyle w:val="Czeindeksu"/>
                <w:vanish w:val="false"/>
              </w:rPr>
              <w:tab/>
              <w:t>20</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4">
            <w:r>
              <w:rPr>
                <w:webHidden/>
                <w:rStyle w:val="Czeindeksu"/>
                <w:rFonts w:eastAsia="" w:eastAsiaTheme="majorEastAsia"/>
                <w:vanish w:val="false"/>
              </w:rPr>
              <w:t>6.2.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Przygotowanie podłoża, montaż przewodów</w:t>
            </w:r>
            <w:r>
              <w:rPr>
                <w:webHidden/>
              </w:rPr>
              <w:fldChar w:fldCharType="begin"/>
            </w:r>
            <w:r>
              <w:rPr>
                <w:webHidden/>
              </w:rPr>
              <w:instrText xml:space="preserve">PAGEREF _Toc215176934 \h</w:instrText>
            </w:r>
            <w:r>
              <w:rPr>
                <w:webHidden/>
              </w:rPr>
              <w:fldChar w:fldCharType="separate"/>
            </w:r>
            <w:r>
              <w:rPr>
                <w:rStyle w:val="Czeindeksu"/>
                <w:vanish w:val="false"/>
              </w:rPr>
              <w:tab/>
              <w:t>21</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5">
            <w:r>
              <w:rPr>
                <w:webHidden/>
                <w:rStyle w:val="Czeindeksu"/>
                <w:rFonts w:eastAsia="" w:eastAsiaTheme="majorEastAsia"/>
                <w:vanish w:val="false"/>
              </w:rPr>
              <w:t>6.3.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Montaż opraw oświetleniowych i sprzętu instalacyjnego, urządzeń i odbiorników energii elektrycznej</w:t>
            </w:r>
            <w:r>
              <w:rPr>
                <w:webHidden/>
              </w:rPr>
              <w:fldChar w:fldCharType="begin"/>
            </w:r>
            <w:r>
              <w:rPr>
                <w:webHidden/>
              </w:rPr>
              <w:instrText xml:space="preserve">PAGEREF _Toc215176935 \h</w:instrText>
            </w:r>
            <w:r>
              <w:rPr>
                <w:webHidden/>
              </w:rPr>
              <w:fldChar w:fldCharType="separate"/>
            </w:r>
            <w:r>
              <w:rPr>
                <w:rStyle w:val="Czeindeksu"/>
                <w:vanish w:val="false"/>
              </w:rPr>
              <w:tab/>
              <w:t>22</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6">
            <w:r>
              <w:rPr>
                <w:webHidden/>
                <w:rStyle w:val="Czeindeksu"/>
                <w:rFonts w:eastAsia="" w:eastAsiaTheme="majorEastAsia"/>
                <w:vanish w:val="false"/>
              </w:rPr>
              <w:t>6.4.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Instalacja połączeń wyrównawczych</w:t>
            </w:r>
            <w:r>
              <w:rPr>
                <w:webHidden/>
              </w:rPr>
              <w:fldChar w:fldCharType="begin"/>
            </w:r>
            <w:r>
              <w:rPr>
                <w:webHidden/>
              </w:rPr>
              <w:instrText xml:space="preserve">PAGEREF _Toc215176936 \h</w:instrText>
            </w:r>
            <w:r>
              <w:rPr>
                <w:webHidden/>
              </w:rPr>
              <w:fldChar w:fldCharType="separate"/>
            </w:r>
            <w:r>
              <w:rPr>
                <w:rStyle w:val="Czeindeksu"/>
                <w:vanish w:val="false"/>
              </w:rPr>
              <w:tab/>
              <w:t>23</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7">
            <w:r>
              <w:rPr>
                <w:webHidden/>
                <w:rStyle w:val="Czeindeksu"/>
                <w:rFonts w:eastAsia="" w:eastAsiaTheme="majorEastAsia"/>
                <w:vanish w:val="false"/>
              </w:rPr>
              <w:t>7.</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KONTROLA JAKOŚCI ROBÓT</w:t>
            </w:r>
            <w:r>
              <w:rPr>
                <w:webHidden/>
              </w:rPr>
              <w:fldChar w:fldCharType="begin"/>
            </w:r>
            <w:r>
              <w:rPr>
                <w:webHidden/>
              </w:rPr>
              <w:instrText xml:space="preserve">PAGEREF _Toc215176937 \h</w:instrText>
            </w:r>
            <w:r>
              <w:rPr>
                <w:webHidden/>
              </w:rPr>
              <w:fldChar w:fldCharType="separate"/>
            </w:r>
            <w:r>
              <w:rPr>
                <w:rStyle w:val="Czeindeksu"/>
                <w:vanish w:val="false"/>
              </w:rPr>
              <w:tab/>
              <w:t>24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8">
            <w:r>
              <w:rPr>
                <w:webHidden/>
                <w:rStyle w:val="Czeindeksu"/>
                <w:rFonts w:eastAsia="" w:eastAsiaTheme="majorEastAsia"/>
                <w:vanish w:val="false"/>
              </w:rPr>
              <w:t>7.1.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zasady kontroli jakości robót podano w ST „Wymagania ogólne"</w:t>
            </w:r>
            <w:r>
              <w:rPr>
                <w:webHidden/>
              </w:rPr>
              <w:fldChar w:fldCharType="begin"/>
            </w:r>
            <w:r>
              <w:rPr>
                <w:webHidden/>
              </w:rPr>
              <w:instrText xml:space="preserve">PAGEREF _Toc215176938 \h</w:instrText>
            </w:r>
            <w:r>
              <w:rPr>
                <w:webHidden/>
              </w:rPr>
              <w:fldChar w:fldCharType="separate"/>
            </w:r>
            <w:r>
              <w:rPr>
                <w:rStyle w:val="Czeindeksu"/>
                <w:vanish w:val="false"/>
              </w:rPr>
              <w:tab/>
              <w:t>24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39">
            <w:r>
              <w:rPr>
                <w:webHidden/>
                <w:rStyle w:val="Czeindeksu"/>
                <w:rFonts w:eastAsia="" w:eastAsiaTheme="majorEastAsia"/>
                <w:vanish w:val="false"/>
              </w:rPr>
              <w:t>7.2.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 xml:space="preserve">Szczegółowy wykaz oraz zakres badań pomontażowych i kontrolnych instalacji </w:t>
            </w:r>
            <w:r>
              <w:rPr>
                <w:rStyle w:val="Czeindeksu"/>
                <w:rFonts w:eastAsia="" w:eastAsiaTheme="majorEastAsia"/>
                <w:spacing w:val="1"/>
              </w:rPr>
              <w:t>piorunochronnych i uziemień</w:t>
            </w:r>
            <w:r>
              <w:rPr>
                <w:webHidden/>
              </w:rPr>
              <w:fldChar w:fldCharType="begin"/>
            </w:r>
            <w:r>
              <w:rPr>
                <w:webHidden/>
              </w:rPr>
              <w:instrText xml:space="preserve">PAGEREF _Toc215176939 \h</w:instrText>
            </w:r>
            <w:r>
              <w:rPr>
                <w:webHidden/>
              </w:rPr>
              <w:fldChar w:fldCharType="separate"/>
            </w:r>
            <w:r>
              <w:rPr>
                <w:rStyle w:val="Czeindeksu"/>
                <w:vanish w:val="false"/>
              </w:rPr>
              <w:tab/>
              <w:t>24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0">
            <w:r>
              <w:rPr>
                <w:webHidden/>
                <w:rStyle w:val="Czeindeksu"/>
                <w:rFonts w:eastAsia="" w:eastAsiaTheme="majorEastAsia"/>
                <w:vanish w:val="false"/>
              </w:rPr>
              <w:t>7.3.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Zasady postępowania z wadliwie wykonanymi robotami i materiałami</w:t>
            </w:r>
            <w:r>
              <w:rPr>
                <w:webHidden/>
              </w:rPr>
              <w:fldChar w:fldCharType="begin"/>
            </w:r>
            <w:r>
              <w:rPr>
                <w:webHidden/>
              </w:rPr>
              <w:instrText xml:space="preserve">PAGEREF _Toc215176940 \h</w:instrText>
            </w:r>
            <w:r>
              <w:rPr>
                <w:webHidden/>
              </w:rPr>
              <w:fldChar w:fldCharType="separate"/>
            </w:r>
            <w:r>
              <w:rPr>
                <w:rStyle w:val="Czeindeksu"/>
                <w:vanish w:val="false"/>
              </w:rPr>
              <w:tab/>
              <w:t>25</w:t>
            </w:r>
            <w:r>
              <w:rPr>
                <w:webHidden/>
              </w:rPr>
              <w:fldChar w:fldCharType="end"/>
            </w:r>
          </w:hyperlink>
        </w:p>
        <w:p>
          <w:pPr>
            <w:pStyle w:val="TOC2"/>
            <w:tabs>
              <w:tab w:val="clear" w:pos="708"/>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1">
            <w:r>
              <w:rPr>
                <w:webHidden/>
                <w:rStyle w:val="Czeindeksu"/>
                <w:rFonts w:eastAsia="" w:eastAsiaTheme="majorEastAsia"/>
                <w:vanish w:val="false"/>
              </w:rPr>
              <w:t>1.</w:t>
            </w:r>
            <w:r>
              <w:rPr>
                <w:webHidden/>
              </w:rPr>
              <w:fldChar w:fldCharType="begin"/>
            </w:r>
            <w:r>
              <w:rPr>
                <w:webHidden/>
              </w:rPr>
              <w:instrText xml:space="preserve">PAGEREF _Toc215176941 \h</w:instrText>
            </w:r>
            <w:r>
              <w:rPr>
                <w:webHidden/>
              </w:rPr>
              <w:fldChar w:fldCharType="separate"/>
            </w:r>
            <w:r>
              <w:rPr>
                <w:rStyle w:val="Czeindeksu"/>
                <w:vanish w:val="false"/>
              </w:rPr>
              <w:tab/>
              <w:t>26</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2">
            <w:r>
              <w:rPr>
                <w:webHidden/>
                <w:rStyle w:val="Czeindeksu"/>
                <w:rFonts w:eastAsia="" w:eastAsiaTheme="majorEastAsia"/>
                <w:vanish w:val="false"/>
              </w:rPr>
              <w:t>7.4.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Program zapewniania jakości</w:t>
            </w:r>
            <w:r>
              <w:rPr>
                <w:webHidden/>
              </w:rPr>
              <w:fldChar w:fldCharType="begin"/>
            </w:r>
            <w:r>
              <w:rPr>
                <w:webHidden/>
              </w:rPr>
              <w:instrText xml:space="preserve">PAGEREF _Toc215176942 \h</w:instrText>
            </w:r>
            <w:r>
              <w:rPr>
                <w:webHidden/>
              </w:rPr>
              <w:fldChar w:fldCharType="separate"/>
            </w:r>
            <w:r>
              <w:rPr>
                <w:rStyle w:val="Czeindeksu"/>
                <w:vanish w:val="false"/>
              </w:rPr>
              <w:tab/>
              <w:t>26</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3">
            <w:r>
              <w:rPr>
                <w:webHidden/>
                <w:rStyle w:val="Czeindeksu"/>
                <w:rFonts w:eastAsia="" w:eastAsiaTheme="majorEastAsia"/>
                <w:vanish w:val="false"/>
              </w:rPr>
              <w:t>7.5.</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Zasady kontroli jakości i robót</w:t>
            </w:r>
            <w:r>
              <w:rPr>
                <w:webHidden/>
              </w:rPr>
              <w:fldChar w:fldCharType="begin"/>
            </w:r>
            <w:r>
              <w:rPr>
                <w:webHidden/>
              </w:rPr>
              <w:instrText xml:space="preserve">PAGEREF _Toc215176943 \h</w:instrText>
            </w:r>
            <w:r>
              <w:rPr>
                <w:webHidden/>
              </w:rPr>
              <w:fldChar w:fldCharType="separate"/>
            </w:r>
            <w:r>
              <w:rPr>
                <w:rStyle w:val="Czeindeksu"/>
                <w:vanish w:val="false"/>
              </w:rPr>
              <w:tab/>
              <w:t>26</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4">
            <w:r>
              <w:rPr>
                <w:webHidden/>
                <w:rStyle w:val="Czeindeksu"/>
                <w:rFonts w:eastAsia="" w:eastAsiaTheme="majorEastAsia"/>
                <w:vanish w:val="false"/>
              </w:rPr>
              <w:t>7.6.</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Pobieranie próbek</w:t>
            </w:r>
            <w:r>
              <w:rPr>
                <w:webHidden/>
              </w:rPr>
              <w:fldChar w:fldCharType="begin"/>
            </w:r>
            <w:r>
              <w:rPr>
                <w:webHidden/>
              </w:rPr>
              <w:instrText xml:space="preserve">PAGEREF _Toc215176944 \h</w:instrText>
            </w:r>
            <w:r>
              <w:rPr>
                <w:webHidden/>
              </w:rPr>
              <w:fldChar w:fldCharType="separate"/>
            </w:r>
            <w:r>
              <w:rPr>
                <w:rStyle w:val="Czeindeksu"/>
                <w:vanish w:val="false"/>
              </w:rPr>
              <w:tab/>
              <w:t>26</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5">
            <w:r>
              <w:rPr>
                <w:webHidden/>
                <w:rStyle w:val="Czeindeksu"/>
                <w:rFonts w:eastAsia="" w:eastAsiaTheme="majorEastAsia"/>
                <w:vanish w:val="false"/>
              </w:rPr>
              <w:t>7.7.</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Badania i pomiary</w:t>
            </w:r>
            <w:r>
              <w:rPr>
                <w:webHidden/>
              </w:rPr>
              <w:fldChar w:fldCharType="begin"/>
            </w:r>
            <w:r>
              <w:rPr>
                <w:webHidden/>
              </w:rPr>
              <w:instrText xml:space="preserve">PAGEREF _Toc215176945 \h</w:instrText>
            </w:r>
            <w:r>
              <w:rPr>
                <w:webHidden/>
              </w:rPr>
              <w:fldChar w:fldCharType="separate"/>
            </w:r>
            <w:r>
              <w:rPr>
                <w:rStyle w:val="Czeindeksu"/>
                <w:vanish w:val="false"/>
              </w:rPr>
              <w:tab/>
              <w:t>27</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6">
            <w:r>
              <w:rPr>
                <w:webHidden/>
                <w:rStyle w:val="Czeindeksu"/>
                <w:rFonts w:eastAsia="" w:eastAsiaTheme="majorEastAsia"/>
                <w:vanish w:val="false"/>
              </w:rPr>
              <w:t>7.8.</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Raporty z badań</w:t>
            </w:r>
            <w:r>
              <w:rPr>
                <w:webHidden/>
              </w:rPr>
              <w:fldChar w:fldCharType="begin"/>
            </w:r>
            <w:r>
              <w:rPr>
                <w:webHidden/>
              </w:rPr>
              <w:instrText xml:space="preserve">PAGEREF _Toc215176946 \h</w:instrText>
            </w:r>
            <w:r>
              <w:rPr>
                <w:webHidden/>
              </w:rPr>
              <w:fldChar w:fldCharType="separate"/>
            </w:r>
            <w:r>
              <w:rPr>
                <w:rStyle w:val="Czeindeksu"/>
                <w:vanish w:val="false"/>
              </w:rPr>
              <w:tab/>
              <w:t>27</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7">
            <w:r>
              <w:rPr>
                <w:webHidden/>
                <w:rStyle w:val="Czeindeksu"/>
                <w:rFonts w:eastAsia="" w:eastAsiaTheme="majorEastAsia"/>
                <w:vanish w:val="false"/>
              </w:rPr>
              <w:t>7.9.</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Badania prowadzone przez Inspektora Nadzoru</w:t>
            </w:r>
            <w:r>
              <w:rPr>
                <w:webHidden/>
              </w:rPr>
              <w:fldChar w:fldCharType="begin"/>
            </w:r>
            <w:r>
              <w:rPr>
                <w:webHidden/>
              </w:rPr>
              <w:instrText xml:space="preserve">PAGEREF _Toc215176947 \h</w:instrText>
            </w:r>
            <w:r>
              <w:rPr>
                <w:webHidden/>
              </w:rPr>
              <w:fldChar w:fldCharType="separate"/>
            </w:r>
            <w:r>
              <w:rPr>
                <w:rStyle w:val="Czeindeksu"/>
                <w:vanish w:val="false"/>
              </w:rPr>
              <w:tab/>
              <w:t>27</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8">
            <w:r>
              <w:rPr>
                <w:webHidden/>
                <w:rStyle w:val="Czeindeksu"/>
                <w:rFonts w:eastAsia="" w:eastAsiaTheme="majorEastAsia"/>
                <w:vanish w:val="false"/>
              </w:rPr>
              <w:t>7.10.</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Certyfikaty i deklaracje</w:t>
            </w:r>
            <w:r>
              <w:rPr>
                <w:webHidden/>
              </w:rPr>
              <w:fldChar w:fldCharType="begin"/>
            </w:r>
            <w:r>
              <w:rPr>
                <w:webHidden/>
              </w:rPr>
              <w:instrText xml:space="preserve">PAGEREF _Toc215176948 \h</w:instrText>
            </w:r>
            <w:r>
              <w:rPr>
                <w:webHidden/>
              </w:rPr>
              <w:fldChar w:fldCharType="separate"/>
            </w:r>
            <w:r>
              <w:rPr>
                <w:rStyle w:val="Czeindeksu"/>
                <w:vanish w:val="false"/>
              </w:rPr>
              <w:tab/>
              <w:t>27</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49">
            <w:r>
              <w:rPr>
                <w:webHidden/>
                <w:rStyle w:val="Czeindeksu"/>
                <w:rFonts w:eastAsia="" w:eastAsiaTheme="majorEastAsia"/>
                <w:vanish w:val="false"/>
              </w:rPr>
              <w:t>8.</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Przedmiary i obmiary</w:t>
            </w:r>
            <w:r>
              <w:rPr>
                <w:webHidden/>
              </w:rPr>
              <w:fldChar w:fldCharType="begin"/>
            </w:r>
            <w:r>
              <w:rPr>
                <w:webHidden/>
              </w:rPr>
              <w:instrText xml:space="preserve">PAGEREF _Toc215176949 \h</w:instrText>
            </w:r>
            <w:r>
              <w:rPr>
                <w:webHidden/>
              </w:rPr>
              <w:fldChar w:fldCharType="separate"/>
            </w:r>
            <w:r>
              <w:rPr>
                <w:rStyle w:val="Czeindeksu"/>
                <w:vanish w:val="false"/>
              </w:rPr>
              <w:tab/>
              <w:t>28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0">
            <w:r>
              <w:rPr>
                <w:webHidden/>
                <w:rStyle w:val="Czeindeksu"/>
                <w:rFonts w:eastAsia="" w:eastAsiaTheme="majorEastAsia"/>
                <w:vanish w:val="false"/>
              </w:rPr>
              <w:t>8.1.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zasady przedmiaru i obmiaru</w:t>
            </w:r>
            <w:r>
              <w:rPr>
                <w:webHidden/>
              </w:rPr>
              <w:fldChar w:fldCharType="begin"/>
            </w:r>
            <w:r>
              <w:rPr>
                <w:webHidden/>
              </w:rPr>
              <w:instrText xml:space="preserve">PAGEREF _Toc215176950 \h</w:instrText>
            </w:r>
            <w:r>
              <w:rPr>
                <w:webHidden/>
              </w:rPr>
              <w:fldChar w:fldCharType="separate"/>
            </w:r>
            <w:r>
              <w:rPr>
                <w:rStyle w:val="Czeindeksu"/>
                <w:vanish w:val="false"/>
              </w:rPr>
              <w:tab/>
              <w:t>28</w:t>
            </w:r>
            <w:r>
              <w:rPr>
                <w:webHidden/>
              </w:rPr>
              <w:fldChar w:fldCharType="end"/>
            </w:r>
          </w:hyperlink>
        </w:p>
        <w:p>
          <w:pPr>
            <w:pStyle w:val="TOC2"/>
            <w:tabs>
              <w:tab w:val="clear" w:pos="708"/>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1">
            <w:r>
              <w:rPr>
                <w:webHidden/>
              </w:rPr>
              <w:fldChar w:fldCharType="begin"/>
            </w:r>
            <w:r>
              <w:rPr>
                <w:webHidden/>
              </w:rPr>
              <w:instrText xml:space="preserve">PAGEREF _Toc215176951 \h</w:instrText>
            </w:r>
            <w:r>
              <w:rPr>
                <w:webHidden/>
              </w:rPr>
              <w:fldChar w:fldCharType="separate"/>
            </w:r>
            <w:r>
              <w:rPr>
                <w:webHidden/>
                <w:rStyle w:val="Czeindeksu"/>
                <w:vanish w:val="false"/>
              </w:rPr>
              <w:t>Obmiar robót będzie odzwierciedlał faktyczny zakres wykonywanych robót zgodnie z PB, PW i ST, w jednostkach ustalonych w kosztorysie.</w:t>
              <w:tab/>
              <w:t>28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2">
            <w:r>
              <w:rPr>
                <w:webHidden/>
                <w:rStyle w:val="Czeindeksu"/>
                <w:rFonts w:eastAsia="" w:eastAsiaTheme="majorEastAsia"/>
                <w:vanish w:val="false"/>
              </w:rPr>
              <w:t>8.2.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Szczegółowe zasady przedmiaru i obmiaru robót montażowych instalacji elektrycznej</w:t>
            </w:r>
            <w:r>
              <w:rPr>
                <w:webHidden/>
              </w:rPr>
              <w:fldChar w:fldCharType="begin"/>
            </w:r>
            <w:r>
              <w:rPr>
                <w:webHidden/>
              </w:rPr>
              <w:instrText xml:space="preserve">PAGEREF _Toc215176952 \h</w:instrText>
            </w:r>
            <w:r>
              <w:rPr>
                <w:webHidden/>
              </w:rPr>
              <w:fldChar w:fldCharType="separate"/>
            </w:r>
            <w:r>
              <w:rPr>
                <w:rStyle w:val="Czeindeksu"/>
                <w:vanish w:val="false"/>
              </w:rPr>
              <w:tab/>
              <w:t>28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3">
            <w:r>
              <w:rPr>
                <w:webHidden/>
                <w:rStyle w:val="Czeindeksu"/>
                <w:rFonts w:eastAsia="" w:eastAsiaTheme="majorEastAsia"/>
                <w:vanish w:val="false"/>
              </w:rPr>
              <w:t>8.3.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Specyfikacja techniczna</w:t>
            </w:r>
            <w:r>
              <w:rPr>
                <w:webHidden/>
              </w:rPr>
              <w:fldChar w:fldCharType="begin"/>
            </w:r>
            <w:r>
              <w:rPr>
                <w:webHidden/>
              </w:rPr>
              <w:instrText xml:space="preserve">PAGEREF _Toc215176953 \h</w:instrText>
            </w:r>
            <w:r>
              <w:rPr>
                <w:webHidden/>
              </w:rPr>
              <w:fldChar w:fldCharType="separate"/>
            </w:r>
            <w:r>
              <w:rPr>
                <w:rStyle w:val="Czeindeksu"/>
                <w:vanish w:val="false"/>
              </w:rPr>
              <w:tab/>
              <w:t>28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4">
            <w:r>
              <w:rPr>
                <w:webHidden/>
                <w:rStyle w:val="Czeindeksu"/>
                <w:rFonts w:eastAsia="" w:eastAsiaTheme="majorEastAsia"/>
                <w:vanish w:val="false"/>
              </w:rPr>
              <w:t>8.4.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Urządzenia i sprzęt pomiarowy</w:t>
            </w:r>
            <w:r>
              <w:rPr>
                <w:webHidden/>
              </w:rPr>
              <w:fldChar w:fldCharType="begin"/>
            </w:r>
            <w:r>
              <w:rPr>
                <w:webHidden/>
              </w:rPr>
              <w:instrText xml:space="preserve">PAGEREF _Toc215176954 \h</w:instrText>
            </w:r>
            <w:r>
              <w:rPr>
                <w:webHidden/>
              </w:rPr>
              <w:fldChar w:fldCharType="separate"/>
            </w:r>
            <w:r>
              <w:rPr>
                <w:rStyle w:val="Czeindeksu"/>
                <w:vanish w:val="false"/>
              </w:rPr>
              <w:tab/>
              <w:t>28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5">
            <w:r>
              <w:rPr>
                <w:webHidden/>
                <w:rStyle w:val="Czeindeksu"/>
                <w:rFonts w:eastAsia="" w:eastAsiaTheme="majorEastAsia"/>
                <w:vanish w:val="false"/>
              </w:rPr>
              <w:t>8.5.</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Czas przeprowadzania obmiaru</w:t>
            </w:r>
            <w:r>
              <w:rPr>
                <w:webHidden/>
              </w:rPr>
              <w:fldChar w:fldCharType="begin"/>
            </w:r>
            <w:r>
              <w:rPr>
                <w:webHidden/>
              </w:rPr>
              <w:instrText xml:space="preserve">PAGEREF _Toc215176955 \h</w:instrText>
            </w:r>
            <w:r>
              <w:rPr>
                <w:webHidden/>
              </w:rPr>
              <w:fldChar w:fldCharType="separate"/>
            </w:r>
            <w:r>
              <w:rPr>
                <w:rStyle w:val="Czeindeksu"/>
                <w:vanish w:val="false"/>
              </w:rPr>
              <w:tab/>
              <w:t>28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6">
            <w:r>
              <w:rPr>
                <w:webHidden/>
                <w:rStyle w:val="Czeindeksu"/>
                <w:rFonts w:eastAsia="" w:eastAsiaTheme="majorEastAsia"/>
                <w:vanish w:val="false"/>
              </w:rPr>
              <w:t>8.6.</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Wykonywanie obmiaru robót</w:t>
            </w:r>
            <w:r>
              <w:rPr>
                <w:webHidden/>
              </w:rPr>
              <w:fldChar w:fldCharType="begin"/>
            </w:r>
            <w:r>
              <w:rPr>
                <w:webHidden/>
              </w:rPr>
              <w:instrText xml:space="preserve">PAGEREF _Toc215176956 \h</w:instrText>
            </w:r>
            <w:r>
              <w:rPr>
                <w:webHidden/>
              </w:rPr>
              <w:fldChar w:fldCharType="separate"/>
            </w:r>
            <w:r>
              <w:rPr>
                <w:rStyle w:val="Czeindeksu"/>
                <w:vanish w:val="false"/>
              </w:rPr>
              <w:tab/>
              <w:t>29</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7">
            <w:r>
              <w:rPr>
                <w:webHidden/>
                <w:rStyle w:val="Czeindeksu"/>
                <w:rFonts w:eastAsia="" w:eastAsiaTheme="majorEastAsia"/>
                <w:vanish w:val="false"/>
              </w:rPr>
              <w:t>8.7.</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Dokumenty budowy</w:t>
            </w:r>
            <w:r>
              <w:rPr>
                <w:webHidden/>
              </w:rPr>
              <w:fldChar w:fldCharType="begin"/>
            </w:r>
            <w:r>
              <w:rPr>
                <w:webHidden/>
              </w:rPr>
              <w:instrText xml:space="preserve">PAGEREF _Toc215176957 \h</w:instrText>
            </w:r>
            <w:r>
              <w:rPr>
                <w:webHidden/>
              </w:rPr>
              <w:fldChar w:fldCharType="separate"/>
            </w:r>
            <w:r>
              <w:rPr>
                <w:rStyle w:val="Czeindeksu"/>
                <w:vanish w:val="false"/>
              </w:rPr>
              <w:tab/>
              <w:t>29</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8">
            <w:r>
              <w:rPr>
                <w:webHidden/>
                <w:rStyle w:val="Czeindeksu"/>
                <w:rFonts w:eastAsia="" w:eastAsiaTheme="majorEastAsia"/>
                <w:vanish w:val="false"/>
              </w:rPr>
              <w:t>9.</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ODBIÓR ROBÓT</w:t>
            </w:r>
            <w:r>
              <w:rPr>
                <w:webHidden/>
              </w:rPr>
              <w:fldChar w:fldCharType="begin"/>
            </w:r>
            <w:r>
              <w:rPr>
                <w:webHidden/>
              </w:rPr>
              <w:instrText xml:space="preserve">PAGEREF _Toc215176958 \h</w:instrText>
            </w:r>
            <w:r>
              <w:rPr>
                <w:webHidden/>
              </w:rPr>
              <w:fldChar w:fldCharType="separate"/>
            </w:r>
            <w:r>
              <w:rPr>
                <w:rStyle w:val="Czeindeksu"/>
                <w:vanish w:val="false"/>
              </w:rPr>
              <w:tab/>
              <w:t>31</w:t>
            </w:r>
            <w:r>
              <w:rPr>
                <w:webHidden/>
              </w:rPr>
              <w:fldChar w:fldCharType="end"/>
            </w:r>
          </w:hyperlink>
        </w:p>
        <w:p>
          <w:pPr>
            <w:pStyle w:val="TOC2"/>
            <w:tabs>
              <w:tab w:val="clear" w:pos="708"/>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59">
            <w:r>
              <w:rPr>
                <w:webHidden/>
                <w:rStyle w:val="Czeindeksu"/>
                <w:rFonts w:eastAsia="" w:eastAsiaTheme="majorEastAsia"/>
                <w:vanish w:val="false"/>
              </w:rPr>
              <w:t>2.</w:t>
            </w:r>
            <w:r>
              <w:rPr>
                <w:webHidden/>
              </w:rPr>
              <w:fldChar w:fldCharType="begin"/>
            </w:r>
            <w:r>
              <w:rPr>
                <w:webHidden/>
              </w:rPr>
              <w:instrText xml:space="preserve">PAGEREF _Toc215176959 \h</w:instrText>
            </w:r>
            <w:r>
              <w:rPr>
                <w:webHidden/>
              </w:rPr>
              <w:fldChar w:fldCharType="separate"/>
            </w:r>
            <w:r>
              <w:rPr>
                <w:rStyle w:val="Czeindeksu"/>
                <w:vanish w:val="false"/>
              </w:rPr>
              <w:tab/>
              <w:t>31</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0">
            <w:r>
              <w:rPr>
                <w:webHidden/>
                <w:rStyle w:val="Czeindeksu"/>
                <w:rFonts w:eastAsia="" w:eastAsiaTheme="majorEastAsia"/>
                <w:vanish w:val="false"/>
              </w:rPr>
              <w:t>9.1.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Ogólne zasady odbioru robót podano w ST „Wymagania ogólne"</w:t>
            </w:r>
            <w:r>
              <w:rPr>
                <w:webHidden/>
              </w:rPr>
              <w:fldChar w:fldCharType="begin"/>
            </w:r>
            <w:r>
              <w:rPr>
                <w:webHidden/>
              </w:rPr>
              <w:instrText xml:space="preserve">PAGEREF _Toc215176960 \h</w:instrText>
            </w:r>
            <w:r>
              <w:rPr>
                <w:webHidden/>
              </w:rPr>
              <w:fldChar w:fldCharType="separate"/>
            </w:r>
            <w:r>
              <w:rPr>
                <w:rStyle w:val="Czeindeksu"/>
                <w:vanish w:val="false"/>
              </w:rPr>
              <w:tab/>
              <w:t>31</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1">
            <w:r>
              <w:rPr>
                <w:webHidden/>
                <w:rStyle w:val="Czeindeksu"/>
                <w:rFonts w:eastAsia="" w:eastAsiaTheme="majorEastAsia"/>
                <w:vanish w:val="false"/>
              </w:rPr>
              <w:t>9.2.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Odbiór robót zanikających i ulegających zakryciu</w:t>
            </w:r>
            <w:r>
              <w:rPr>
                <w:webHidden/>
              </w:rPr>
              <w:fldChar w:fldCharType="begin"/>
            </w:r>
            <w:r>
              <w:rPr>
                <w:webHidden/>
              </w:rPr>
              <w:instrText xml:space="preserve">PAGEREF _Toc215176961 \h</w:instrText>
            </w:r>
            <w:r>
              <w:rPr>
                <w:webHidden/>
              </w:rPr>
              <w:fldChar w:fldCharType="separate"/>
            </w:r>
            <w:r>
              <w:rPr>
                <w:rStyle w:val="Czeindeksu"/>
                <w:vanish w:val="false"/>
              </w:rPr>
              <w:tab/>
              <w:t>31</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2">
            <w:r>
              <w:rPr>
                <w:webHidden/>
                <w:rStyle w:val="Czeindeksu"/>
                <w:rFonts w:eastAsia="" w:eastAsiaTheme="majorEastAsia"/>
                <w:vanish w:val="false"/>
              </w:rPr>
              <w:t>9.3.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Warunki odbioru instalacji i urządzeń zasilających</w:t>
            </w:r>
            <w:r>
              <w:rPr>
                <w:webHidden/>
              </w:rPr>
              <w:fldChar w:fldCharType="begin"/>
            </w:r>
            <w:r>
              <w:rPr>
                <w:webHidden/>
              </w:rPr>
              <w:instrText xml:space="preserve">PAGEREF _Toc215176962 \h</w:instrText>
            </w:r>
            <w:r>
              <w:rPr>
                <w:webHidden/>
              </w:rPr>
              <w:fldChar w:fldCharType="separate"/>
            </w:r>
            <w:r>
              <w:rPr>
                <w:rStyle w:val="Czeindeksu"/>
                <w:vanish w:val="false"/>
              </w:rPr>
              <w:tab/>
              <w:t>32</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3">
            <w:r>
              <w:rPr>
                <w:webHidden/>
                <w:rStyle w:val="Czeindeksu"/>
                <w:rFonts w:eastAsia="" w:eastAsiaTheme="majorEastAsia"/>
                <w:vanish w:val="false"/>
              </w:rPr>
              <w:t>9.3.1.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Odbiór międzyoperacyjny</w:t>
            </w:r>
            <w:r>
              <w:rPr>
                <w:webHidden/>
              </w:rPr>
              <w:fldChar w:fldCharType="begin"/>
            </w:r>
            <w:r>
              <w:rPr>
                <w:webHidden/>
              </w:rPr>
              <w:instrText xml:space="preserve">PAGEREF _Toc215176963 \h</w:instrText>
            </w:r>
            <w:r>
              <w:rPr>
                <w:webHidden/>
              </w:rPr>
              <w:fldChar w:fldCharType="separate"/>
            </w:r>
            <w:r>
              <w:rPr>
                <w:rStyle w:val="Czeindeksu"/>
                <w:vanish w:val="false"/>
              </w:rPr>
              <w:tab/>
              <w:t>32</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4">
            <w:r>
              <w:rPr>
                <w:webHidden/>
                <w:rStyle w:val="Czeindeksu"/>
                <w:rFonts w:eastAsia="" w:eastAsiaTheme="majorEastAsia"/>
                <w:vanish w:val="false"/>
              </w:rPr>
              <w:t>9.3.2.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Odbiór częściowy</w:t>
            </w:r>
            <w:r>
              <w:rPr>
                <w:webHidden/>
              </w:rPr>
              <w:fldChar w:fldCharType="begin"/>
            </w:r>
            <w:r>
              <w:rPr>
                <w:webHidden/>
              </w:rPr>
              <w:instrText xml:space="preserve">PAGEREF _Toc215176964 \h</w:instrText>
            </w:r>
            <w:r>
              <w:rPr>
                <w:webHidden/>
              </w:rPr>
              <w:fldChar w:fldCharType="separate"/>
            </w:r>
            <w:r>
              <w:rPr>
                <w:rStyle w:val="Czeindeksu"/>
                <w:vanish w:val="false"/>
              </w:rPr>
              <w:tab/>
              <w:t>32</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5">
            <w:r>
              <w:rPr>
                <w:webHidden/>
                <w:rStyle w:val="Czeindeksu"/>
                <w:rFonts w:eastAsia="" w:eastAsiaTheme="majorEastAsia"/>
                <w:vanish w:val="false"/>
              </w:rPr>
              <w:t>9.3.3.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Odbiór końcowy</w:t>
            </w:r>
            <w:r>
              <w:rPr>
                <w:webHidden/>
              </w:rPr>
              <w:fldChar w:fldCharType="begin"/>
            </w:r>
            <w:r>
              <w:rPr>
                <w:webHidden/>
              </w:rPr>
              <w:instrText xml:space="preserve">PAGEREF _Toc215176965 \h</w:instrText>
            </w:r>
            <w:r>
              <w:rPr>
                <w:webHidden/>
              </w:rPr>
              <w:fldChar w:fldCharType="separate"/>
            </w:r>
            <w:r>
              <w:rPr>
                <w:rStyle w:val="Czeindeksu"/>
                <w:vanish w:val="false"/>
              </w:rPr>
              <w:tab/>
              <w:t>32</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6">
            <w:r>
              <w:rPr>
                <w:webHidden/>
                <w:rStyle w:val="Czeindeksu"/>
                <w:rFonts w:eastAsia="" w:eastAsiaTheme="majorEastAsia"/>
                <w:vanish w:val="false"/>
              </w:rPr>
              <w:t>9.3.4.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Odbiór pogwarancyjny</w:t>
            </w:r>
            <w:r>
              <w:rPr>
                <w:webHidden/>
              </w:rPr>
              <w:fldChar w:fldCharType="begin"/>
            </w:r>
            <w:r>
              <w:rPr>
                <w:webHidden/>
              </w:rPr>
              <w:instrText xml:space="preserve">PAGEREF _Toc215176966 \h</w:instrText>
            </w:r>
            <w:r>
              <w:rPr>
                <w:webHidden/>
              </w:rPr>
              <w:fldChar w:fldCharType="separate"/>
            </w:r>
            <w:r>
              <w:rPr>
                <w:rStyle w:val="Czeindeksu"/>
                <w:vanish w:val="false"/>
              </w:rPr>
              <w:tab/>
              <w:t>33</w:t>
            </w:r>
            <w:r>
              <w:rPr>
                <w:webHidden/>
              </w:rPr>
              <w:fldChar w:fldCharType="end"/>
            </w:r>
          </w:hyperlink>
        </w:p>
        <w:p>
          <w:pPr>
            <w:pStyle w:val="TOC3"/>
            <w:tabs>
              <w:tab w:val="clear" w:pos="708"/>
              <w:tab w:val="left" w:pos="120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7">
            <w:r>
              <w:rPr>
                <w:webHidden/>
                <w:rStyle w:val="Czeindeksu"/>
                <w:rFonts w:eastAsia="" w:eastAsiaTheme="majorEastAsia"/>
                <w:vanish w:val="false"/>
              </w:rPr>
              <w:t>9.3.5.</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Dokumenty odbioru ostatecznego</w:t>
            </w:r>
            <w:r>
              <w:rPr>
                <w:webHidden/>
              </w:rPr>
              <w:fldChar w:fldCharType="begin"/>
            </w:r>
            <w:r>
              <w:rPr>
                <w:webHidden/>
              </w:rPr>
              <w:instrText xml:space="preserve">PAGEREF _Toc215176967 \h</w:instrText>
            </w:r>
            <w:r>
              <w:rPr>
                <w:webHidden/>
              </w:rPr>
              <w:fldChar w:fldCharType="separate"/>
            </w:r>
            <w:r>
              <w:rPr>
                <w:rStyle w:val="Czeindeksu"/>
                <w:vanish w:val="false"/>
              </w:rPr>
              <w:tab/>
              <w:t>33</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8">
            <w:r>
              <w:rPr>
                <w:webHidden/>
                <w:rStyle w:val="Czeindeksu"/>
                <w:rFonts w:eastAsia="" w:eastAsiaTheme="majorEastAsia"/>
                <w:vanish w:val="false"/>
              </w:rPr>
              <w:t>10.</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PODSTAWA ROZLICZENIA ROBOT</w:t>
            </w:r>
            <w:r>
              <w:rPr>
                <w:webHidden/>
              </w:rPr>
              <w:fldChar w:fldCharType="begin"/>
            </w:r>
            <w:r>
              <w:rPr>
                <w:webHidden/>
              </w:rPr>
              <w:instrText xml:space="preserve">PAGEREF _Toc215176968 \h</w:instrText>
            </w:r>
            <w:r>
              <w:rPr>
                <w:webHidden/>
              </w:rPr>
              <w:fldChar w:fldCharType="separate"/>
            </w:r>
            <w:r>
              <w:rPr>
                <w:rStyle w:val="Czeindeksu"/>
                <w:vanish w:val="false"/>
              </w:rPr>
              <w:tab/>
              <w:t>34</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69">
            <w:r>
              <w:rPr>
                <w:webHidden/>
                <w:rStyle w:val="Czeindeksu"/>
                <w:rFonts w:eastAsia="" w:eastAsiaTheme="majorEastAsia"/>
                <w:vanish w:val="false"/>
              </w:rPr>
              <w:t>10.1.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Zasady rozliczenia i płatności</w:t>
            </w:r>
            <w:r>
              <w:rPr>
                <w:webHidden/>
              </w:rPr>
              <w:fldChar w:fldCharType="begin"/>
            </w:r>
            <w:r>
              <w:rPr>
                <w:webHidden/>
              </w:rPr>
              <w:instrText xml:space="preserve">PAGEREF _Toc215176969 \h</w:instrText>
            </w:r>
            <w:r>
              <w:rPr>
                <w:webHidden/>
              </w:rPr>
              <w:fldChar w:fldCharType="separate"/>
            </w:r>
            <w:r>
              <w:rPr>
                <w:rStyle w:val="Czeindeksu"/>
                <w:vanish w:val="false"/>
              </w:rPr>
              <w:tab/>
              <w:t>34</w:t>
            </w:r>
            <w:r>
              <w:rPr>
                <w:webHidden/>
              </w:rPr>
              <w:fldChar w:fldCharType="end"/>
            </w:r>
          </w:hyperlink>
        </w:p>
        <w:p>
          <w:pPr>
            <w:pStyle w:val="TOC1"/>
            <w:tabs>
              <w:tab w:val="clear" w:pos="708"/>
              <w:tab w:val="left" w:pos="72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70">
            <w:r>
              <w:rPr>
                <w:webHidden/>
                <w:rStyle w:val="Czeindeksu"/>
                <w:rFonts w:eastAsia="" w:eastAsiaTheme="majorEastAsia"/>
                <w:vanish w:val="false"/>
              </w:rPr>
              <w:t>11.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DOKUMENTY</w:t>
            </w:r>
            <w:r>
              <w:rPr>
                <w:webHidden/>
              </w:rPr>
              <w:fldChar w:fldCharType="begin"/>
            </w:r>
            <w:r>
              <w:rPr>
                <w:webHidden/>
              </w:rPr>
              <w:instrText xml:space="preserve">PAGEREF _Toc215176970 \h</w:instrText>
            </w:r>
            <w:r>
              <w:rPr>
                <w:webHidden/>
              </w:rPr>
              <w:fldChar w:fldCharType="separate"/>
            </w:r>
            <w:r>
              <w:rPr>
                <w:rStyle w:val="Czeindeksu"/>
                <w:vanish w:val="false"/>
              </w:rPr>
              <w:tab/>
              <w:t>35</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71">
            <w:r>
              <w:rPr>
                <w:webHidden/>
                <w:rStyle w:val="Czeindeksu"/>
                <w:rFonts w:eastAsia="" w:eastAsiaTheme="majorEastAsia"/>
                <w:vanish w:val="false"/>
              </w:rPr>
              <w:t>11.1.</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Normy</w:t>
            </w:r>
            <w:r>
              <w:rPr>
                <w:webHidden/>
              </w:rPr>
              <w:fldChar w:fldCharType="begin"/>
            </w:r>
            <w:r>
              <w:rPr>
                <w:webHidden/>
              </w:rPr>
              <w:instrText xml:space="preserve">PAGEREF _Toc215176971 \h</w:instrText>
            </w:r>
            <w:r>
              <w:rPr>
                <w:webHidden/>
              </w:rPr>
              <w:fldChar w:fldCharType="separate"/>
            </w:r>
            <w:r>
              <w:rPr>
                <w:rStyle w:val="Czeindeksu"/>
                <w:vanish w:val="false"/>
              </w:rPr>
              <w:tab/>
              <w:t>35</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72">
            <w:r>
              <w:rPr>
                <w:webHidden/>
                <w:rStyle w:val="Czeindeksu"/>
                <w:rFonts w:eastAsia="" w:eastAsiaTheme="majorEastAsia"/>
                <w:vanish w:val="false"/>
              </w:rPr>
              <w:t>11.2.</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Ustawy</w:t>
            </w:r>
            <w:r>
              <w:rPr>
                <w:webHidden/>
              </w:rPr>
              <w:fldChar w:fldCharType="begin"/>
            </w:r>
            <w:r>
              <w:rPr>
                <w:webHidden/>
              </w:rPr>
              <w:instrText xml:space="preserve">PAGEREF _Toc215176972 \h</w:instrText>
            </w:r>
            <w:r>
              <w:rPr>
                <w:webHidden/>
              </w:rPr>
              <w:fldChar w:fldCharType="separate"/>
            </w:r>
            <w:r>
              <w:rPr>
                <w:rStyle w:val="Czeindeksu"/>
                <w:vanish w:val="false"/>
              </w:rPr>
              <w:tab/>
              <w:t>38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73">
            <w:r>
              <w:rPr>
                <w:webHidden/>
                <w:rStyle w:val="Czeindeksu"/>
                <w:rFonts w:eastAsia="" w:eastAsiaTheme="majorEastAsia"/>
                <w:vanish w:val="false"/>
              </w:rPr>
              <w:t>11.3.</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Rozporządzenia</w:t>
            </w:r>
            <w:r>
              <w:rPr>
                <w:webHidden/>
              </w:rPr>
              <w:fldChar w:fldCharType="begin"/>
            </w:r>
            <w:r>
              <w:rPr>
                <w:webHidden/>
              </w:rPr>
              <w:instrText xml:space="preserve">PAGEREF _Toc215176973 \h</w:instrText>
            </w:r>
            <w:r>
              <w:rPr>
                <w:webHidden/>
              </w:rPr>
              <w:fldChar w:fldCharType="separate"/>
            </w:r>
            <w:r>
              <w:rPr>
                <w:rStyle w:val="Czeindeksu"/>
                <w:vanish w:val="false"/>
              </w:rPr>
              <w:tab/>
              <w:t>38</w:t>
            </w:r>
            <w:r>
              <w:rPr>
                <w:webHidden/>
              </w:rPr>
              <w:fldChar w:fldCharType="end"/>
            </w:r>
          </w:hyperlink>
        </w:p>
        <w:p>
          <w:pPr>
            <w:pStyle w:val="TOC2"/>
            <w:tabs>
              <w:tab w:val="clear" w:pos="708"/>
              <w:tab w:val="left" w:pos="960" w:leader="none"/>
              <w:tab w:val="right" w:pos="9062" w:leader="dot"/>
            </w:tabs>
            <w:rPr>
              <w:rFonts w:ascii="Calibri" w:hAnsi="Calibri" w:eastAsia="" w:cs="" w:asciiTheme="minorHAnsi" w:cstheme="minorBidi" w:eastAsiaTheme="minorEastAsia" w:hAnsiTheme="minorHAnsi"/>
              <w:kern w:val="2"/>
              <w:sz w:val="24"/>
              <w:szCs w:val="24"/>
              <w14:ligatures w14:val="standardContextual"/>
            </w:rPr>
          </w:pPr>
          <w:hyperlink w:anchor="_Toc215176974">
            <w:r>
              <w:rPr>
                <w:webHidden/>
                <w:rStyle w:val="Czeindeksu"/>
                <w:rFonts w:eastAsia="" w:eastAsiaTheme="majorEastAsia"/>
                <w:vanish w:val="false"/>
              </w:rPr>
              <w:t>11.4.</w:t>
            </w:r>
            <w:r>
              <w:rPr>
                <w:rStyle w:val="Czeindeksu"/>
                <w:rFonts w:eastAsia="" w:cs="" w:ascii="Calibri" w:hAnsi="Calibri" w:asciiTheme="minorHAnsi" w:cstheme="minorBidi" w:eastAsiaTheme="minorEastAsia" w:hAnsiTheme="minorHAnsi"/>
                <w:kern w:val="2"/>
                <w:sz w:val="24"/>
                <w:szCs w:val="24"/>
                <w14:ligatures w14:val="standardContextual"/>
              </w:rPr>
              <w:tab/>
            </w:r>
            <w:r>
              <w:rPr>
                <w:rStyle w:val="Czeindeksu"/>
                <w:rFonts w:eastAsia="" w:eastAsiaTheme="majorEastAsia"/>
              </w:rPr>
              <w:t>Inne dokumenty i instrukcje</w:t>
            </w:r>
            <w:r>
              <w:rPr>
                <w:webHidden/>
              </w:rPr>
              <w:fldChar w:fldCharType="begin"/>
            </w:r>
            <w:r>
              <w:rPr>
                <w:webHidden/>
              </w:rPr>
              <w:instrText xml:space="preserve">PAGEREF _Toc215176974 \h</w:instrText>
            </w:r>
            <w:r>
              <w:rPr>
                <w:webHidden/>
              </w:rPr>
              <w:fldChar w:fldCharType="separate"/>
            </w:r>
            <w:r>
              <w:rPr>
                <w:rStyle w:val="Czeindeksu"/>
                <w:vanish w:val="false"/>
              </w:rPr>
              <w:tab/>
              <w:t>38</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r>
            <w:rPr>
              <w:rFonts w:eastAsia="" w:eastAsiaTheme="minorEastAsia"/>
              <w:sz w:val="24"/>
              <w:szCs w:val="24"/>
            </w:rPr>
          </w:r>
          <w:r>
            <w:rPr>
              <w:sz w:val="24"/>
              <w:szCs w:val="24"/>
              <w:rFonts w:eastAsia=""/>
            </w:rPr>
            <w:fldChar w:fldCharType="end"/>
          </w:r>
        </w:p>
      </w:sdtContent>
    </w:sdt>
    <w:p>
      <w:pPr>
        <w:pStyle w:val="Normal"/>
        <w:shd w:fill="FFFFFF" w:val="clear"/>
        <w:ind w:start="426" w:end="423"/>
        <w:jc w:val="both"/>
        <w:rPr>
          <w:sz w:val="24"/>
          <w:szCs w:val="24"/>
        </w:rPr>
      </w:pPr>
      <w:r>
        <w:rPr>
          <w:sz w:val="24"/>
          <w:szCs w:val="24"/>
        </w:rPr>
      </w:r>
    </w:p>
    <w:p>
      <w:pPr>
        <w:pStyle w:val="Heading1"/>
        <w:numPr>
          <w:ilvl w:val="0"/>
          <w:numId w:val="13"/>
        </w:numPr>
        <w:ind w:hanging="360" w:start="426" w:end="423"/>
        <w:rPr>
          <w:rFonts w:ascii="Arial" w:hAnsi="Arial" w:cs="Arial"/>
          <w:sz w:val="24"/>
          <w:szCs w:val="24"/>
        </w:rPr>
      </w:pPr>
      <w:bookmarkStart w:id="4" w:name="_Toc215176905"/>
      <w:bookmarkStart w:id="5" w:name="_Toc535218182"/>
      <w:bookmarkEnd w:id="5"/>
      <w:r>
        <w:rPr>
          <w:rFonts w:cs="Arial" w:ascii="Arial" w:hAnsi="Arial"/>
          <w:sz w:val="24"/>
          <w:szCs w:val="24"/>
        </w:rPr>
        <w:t>CZĘŚĆ OGÓLNA</w:t>
      </w:r>
      <w:bookmarkEnd w:id="4"/>
    </w:p>
    <w:p>
      <w:pPr>
        <w:pStyle w:val="Heading2"/>
        <w:numPr>
          <w:ilvl w:val="1"/>
          <w:numId w:val="14"/>
        </w:numPr>
        <w:ind w:hanging="432" w:start="426" w:end="423"/>
        <w:rPr>
          <w:rFonts w:ascii="Arial" w:hAnsi="Arial" w:cs="Arial"/>
          <w:sz w:val="24"/>
          <w:szCs w:val="24"/>
        </w:rPr>
      </w:pPr>
      <w:bookmarkStart w:id="6" w:name="_Toc215176906"/>
      <w:bookmarkStart w:id="7" w:name="_Toc535218183"/>
      <w:bookmarkEnd w:id="7"/>
      <w:r>
        <w:rPr>
          <w:rFonts w:cs="Arial" w:ascii="Arial" w:hAnsi="Arial"/>
          <w:sz w:val="24"/>
          <w:szCs w:val="24"/>
        </w:rPr>
        <w:t>Przedmiot ST</w:t>
      </w:r>
      <w:bookmarkEnd w:id="6"/>
    </w:p>
    <w:p>
      <w:pPr>
        <w:pStyle w:val="Normal"/>
        <w:ind w:firstLine="282" w:start="426" w:end="423"/>
        <w:rPr>
          <w:sz w:val="24"/>
          <w:szCs w:val="24"/>
        </w:rPr>
      </w:pPr>
      <w:r>
        <w:rPr>
          <w:sz w:val="24"/>
          <w:szCs w:val="24"/>
        </w:rPr>
        <w:t>Przedmiotem niniejszej specyfikacji technicznej (ST) są wymagania dotyczące wykonania i odbioru robót związanych z układaniem i montażem elementów instalacji elektrycznej i teletechnicznej (układanie kabli i przewodów, montaż osprzętu i opraw, instalacji teletechnicznej)</w:t>
      </w:r>
    </w:p>
    <w:p>
      <w:pPr>
        <w:pStyle w:val="Heading2"/>
        <w:numPr>
          <w:ilvl w:val="1"/>
          <w:numId w:val="14"/>
        </w:numPr>
        <w:ind w:hanging="432" w:start="426" w:end="423"/>
        <w:rPr>
          <w:rFonts w:ascii="Arial" w:hAnsi="Arial" w:cs="Arial"/>
          <w:sz w:val="24"/>
          <w:szCs w:val="24"/>
        </w:rPr>
      </w:pPr>
      <w:bookmarkStart w:id="8" w:name="_Toc215176907"/>
      <w:r>
        <w:rPr>
          <w:rFonts w:cs="Arial" w:ascii="Arial" w:hAnsi="Arial"/>
          <w:sz w:val="24"/>
          <w:szCs w:val="24"/>
        </w:rPr>
        <w:t>Zakres stosowania ST</w:t>
      </w:r>
      <w:bookmarkEnd w:id="8"/>
    </w:p>
    <w:p>
      <w:pPr>
        <w:pStyle w:val="Normal"/>
        <w:ind w:firstLine="282" w:start="426" w:end="423"/>
        <w:rPr>
          <w:sz w:val="24"/>
          <w:szCs w:val="24"/>
        </w:rPr>
      </w:pPr>
      <w:r>
        <w:rPr>
          <w:sz w:val="24"/>
          <w:szCs w:val="24"/>
        </w:rPr>
        <w:t>Specyfikacja techniczna stanowi podstawę jako dokument przetargowy i kontraktowy przy zlecaniu i realizacji robót wymienionych w pkt. 1.1.</w:t>
      </w:r>
    </w:p>
    <w:p>
      <w:pPr>
        <w:pStyle w:val="Normal"/>
        <w:ind w:start="426" w:end="423"/>
        <w:rPr>
          <w:sz w:val="24"/>
          <w:szCs w:val="24"/>
        </w:rPr>
      </w:pPr>
      <w:r>
        <w:rPr>
          <w:spacing w:val="2"/>
          <w:sz w:val="24"/>
          <w:szCs w:val="24"/>
        </w:rPr>
        <w:t xml:space="preserve">Odstępstwa od wymagań podanych w niniejszej specyfikacji mogą mieć miejsce tylko </w:t>
      </w:r>
      <w:r>
        <w:rPr>
          <w:sz w:val="24"/>
          <w:szCs w:val="24"/>
        </w:rPr>
        <w:t>w przypadkach prostych robót o niewielkim znaczeniu, dla których istnieje pewność, że podstawowe wymagania będą spełnione przy zastosowaniu metod wykonania wynikających z doświadczenia oraz uznanych reguł i zasad sztuki budowlanej.</w:t>
      </w:r>
    </w:p>
    <w:p>
      <w:pPr>
        <w:pStyle w:val="Heading2"/>
        <w:numPr>
          <w:ilvl w:val="1"/>
          <w:numId w:val="14"/>
        </w:numPr>
        <w:ind w:hanging="432" w:start="426" w:end="423"/>
        <w:rPr>
          <w:rFonts w:ascii="Arial" w:hAnsi="Arial" w:cs="Arial"/>
          <w:sz w:val="24"/>
          <w:szCs w:val="24"/>
        </w:rPr>
      </w:pPr>
      <w:bookmarkStart w:id="9" w:name="_Toc215176908"/>
      <w:bookmarkStart w:id="10" w:name="_Toc535218185"/>
      <w:bookmarkEnd w:id="10"/>
      <w:r>
        <w:rPr>
          <w:rFonts w:cs="Arial" w:ascii="Arial" w:hAnsi="Arial"/>
          <w:sz w:val="24"/>
          <w:szCs w:val="24"/>
        </w:rPr>
        <w:t>Przedmiot i zakres robót objętych ST</w:t>
      </w:r>
      <w:bookmarkEnd w:id="9"/>
    </w:p>
    <w:p>
      <w:pPr>
        <w:pStyle w:val="Normal"/>
        <w:shd w:val="clear" w:color="auto" w:fill="FFFFFF"/>
        <w:ind w:firstLine="282" w:start="426" w:end="423"/>
        <w:rPr>
          <w:sz w:val="24"/>
          <w:szCs w:val="24"/>
        </w:rPr>
      </w:pPr>
      <w:r>
        <w:rPr>
          <w:color w:val="000000"/>
          <w:spacing w:val="3"/>
          <w:sz w:val="24"/>
          <w:szCs w:val="24"/>
        </w:rPr>
        <w:t xml:space="preserve">Ustalenia zawarte w niniejszej specyfikacji technicznej (ST) dotyczą zasad wykonywania </w:t>
      </w:r>
      <w:r>
        <w:rPr>
          <w:color w:val="000000"/>
          <w:spacing w:val="-1"/>
          <w:sz w:val="24"/>
          <w:szCs w:val="24"/>
        </w:rPr>
        <w:t>i odbioru robót związanych z:</w:t>
      </w:r>
    </w:p>
    <w:p>
      <w:pPr>
        <w:pStyle w:val="Normal"/>
        <w:numPr>
          <w:ilvl w:val="0"/>
          <w:numId w:val="1"/>
        </w:numPr>
        <w:shd w:val="clear" w:color="auto" w:fill="FFFFFF"/>
        <w:ind w:hanging="281" w:start="426" w:end="423"/>
        <w:rPr>
          <w:sz w:val="24"/>
          <w:szCs w:val="24"/>
        </w:rPr>
      </w:pPr>
      <w:r>
        <w:rPr>
          <w:color w:val="000000"/>
          <w:spacing w:val="4"/>
          <w:sz w:val="24"/>
          <w:szCs w:val="24"/>
        </w:rPr>
        <w:t>układaniem kabli i przewodów elektrycznych</w:t>
      </w:r>
    </w:p>
    <w:p>
      <w:pPr>
        <w:pStyle w:val="Normal"/>
        <w:numPr>
          <w:ilvl w:val="0"/>
          <w:numId w:val="1"/>
        </w:numPr>
        <w:shd w:val="clear" w:color="auto" w:fill="FFFFFF"/>
        <w:ind w:start="426" w:end="423"/>
        <w:rPr>
          <w:sz w:val="24"/>
          <w:szCs w:val="24"/>
        </w:rPr>
      </w:pPr>
      <w:r>
        <w:rPr>
          <w:color w:val="000000"/>
          <w:spacing w:val="-1"/>
          <w:sz w:val="24"/>
          <w:szCs w:val="24"/>
        </w:rPr>
        <w:t>montażem opraw, osprzętu, urządzeń i odbiorników energii elektrycznej,</w:t>
      </w:r>
    </w:p>
    <w:p>
      <w:pPr>
        <w:pStyle w:val="Normal"/>
        <w:numPr>
          <w:ilvl w:val="0"/>
          <w:numId w:val="1"/>
        </w:numPr>
        <w:shd w:val="clear" w:color="auto" w:fill="FFFFFF"/>
        <w:ind w:start="426" w:end="423"/>
        <w:rPr>
          <w:sz w:val="24"/>
          <w:szCs w:val="24"/>
        </w:rPr>
      </w:pPr>
      <w:r>
        <w:rPr>
          <w:color w:val="000000"/>
          <w:sz w:val="24"/>
          <w:szCs w:val="24"/>
        </w:rPr>
        <w:t>wykonanie instalacji odgromowej i uziemiającej</w:t>
      </w:r>
    </w:p>
    <w:p>
      <w:pPr>
        <w:pStyle w:val="Normal"/>
        <w:numPr>
          <w:ilvl w:val="0"/>
          <w:numId w:val="1"/>
        </w:numPr>
        <w:shd w:val="clear" w:color="auto" w:fill="FFFFFF"/>
        <w:ind w:start="426" w:end="423"/>
        <w:rPr>
          <w:sz w:val="24"/>
          <w:szCs w:val="24"/>
        </w:rPr>
      </w:pPr>
      <w:r>
        <w:rPr>
          <w:color w:val="000000"/>
          <w:sz w:val="24"/>
          <w:szCs w:val="24"/>
        </w:rPr>
        <w:t>kompletowanie oraz montaż tablic i rozdzielnic elektrycznych</w:t>
      </w:r>
    </w:p>
    <w:p>
      <w:pPr>
        <w:pStyle w:val="Normal"/>
        <w:shd w:val="clear" w:color="auto" w:fill="FFFFFF"/>
        <w:ind w:start="426" w:end="423"/>
        <w:rPr>
          <w:sz w:val="24"/>
          <w:szCs w:val="24"/>
        </w:rPr>
      </w:pPr>
      <w:r>
        <w:rPr>
          <w:color w:val="000000"/>
          <w:spacing w:val="2"/>
          <w:sz w:val="24"/>
          <w:szCs w:val="24"/>
        </w:rPr>
        <w:t>wraz z przygotowaniem podłoża i robotami towarzyszącymi,</w:t>
      </w:r>
      <w:r>
        <w:rPr>
          <w:color w:val="000000"/>
          <w:sz w:val="24"/>
          <w:szCs w:val="24"/>
        </w:rPr>
        <w:t xml:space="preserve"> dotyczy wszystkich czynności mających na celu wykonanie robót związanych z:</w:t>
      </w:r>
    </w:p>
    <w:p>
      <w:pPr>
        <w:pStyle w:val="Normal"/>
        <w:numPr>
          <w:ilvl w:val="0"/>
          <w:numId w:val="1"/>
        </w:numPr>
        <w:shd w:val="clear" w:color="auto" w:fill="FFFFFF"/>
        <w:ind w:start="426" w:end="423"/>
        <w:rPr>
          <w:sz w:val="24"/>
          <w:szCs w:val="24"/>
        </w:rPr>
      </w:pPr>
      <w:r>
        <w:rPr>
          <w:color w:val="000000"/>
          <w:sz w:val="24"/>
          <w:szCs w:val="24"/>
        </w:rPr>
        <w:t>kompletowaniem wszystkich materiałów potrzebnych do wykonania podanych wyżej prac,</w:t>
      </w:r>
    </w:p>
    <w:p>
      <w:pPr>
        <w:pStyle w:val="Normal"/>
        <w:numPr>
          <w:ilvl w:val="0"/>
          <w:numId w:val="1"/>
        </w:numPr>
        <w:shd w:val="clear" w:color="auto" w:fill="FFFFFF"/>
        <w:ind w:hanging="281" w:start="426" w:end="423"/>
        <w:rPr>
          <w:sz w:val="24"/>
          <w:szCs w:val="24"/>
        </w:rPr>
      </w:pPr>
      <w:r>
        <w:rPr>
          <w:color w:val="000000"/>
          <w:sz w:val="24"/>
          <w:szCs w:val="24"/>
        </w:rPr>
        <w:t>wykonaniem wszelkich robót pomocniczych w celu przygotowania podłoża (w szczegól</w:t>
      </w:r>
      <w:r>
        <w:rPr>
          <w:color w:val="000000"/>
          <w:spacing w:val="1"/>
          <w:sz w:val="24"/>
          <w:szCs w:val="24"/>
        </w:rPr>
        <w:t>ności montaż elementów osprzętu instalacyj</w:t>
      </w:r>
      <w:r>
        <w:rPr>
          <w:color w:val="000000"/>
          <w:spacing w:val="-1"/>
          <w:sz w:val="24"/>
          <w:szCs w:val="24"/>
        </w:rPr>
        <w:t>nego itp.),</w:t>
      </w:r>
    </w:p>
    <w:p>
      <w:pPr>
        <w:pStyle w:val="Normal"/>
        <w:numPr>
          <w:ilvl w:val="0"/>
          <w:numId w:val="1"/>
        </w:numPr>
        <w:shd w:val="clear" w:color="auto" w:fill="FFFFFF"/>
        <w:ind w:start="426" w:end="423"/>
        <w:rPr>
          <w:sz w:val="24"/>
          <w:szCs w:val="24"/>
        </w:rPr>
      </w:pPr>
      <w:r>
        <w:rPr>
          <w:color w:val="000000"/>
          <w:spacing w:val="-6"/>
          <w:sz w:val="24"/>
          <w:szCs w:val="24"/>
        </w:rPr>
        <w:t>ułożeniem wszystkich materiałów w sposób i w miejscu zgodnym z dokumentacją techniczną,</w:t>
      </w:r>
    </w:p>
    <w:p>
      <w:pPr>
        <w:pStyle w:val="Normal"/>
        <w:numPr>
          <w:ilvl w:val="0"/>
          <w:numId w:val="2"/>
        </w:numPr>
        <w:shd w:val="clear" w:color="auto" w:fill="FFFFFF"/>
        <w:ind w:hanging="270" w:start="426" w:end="423"/>
        <w:rPr>
          <w:sz w:val="24"/>
          <w:szCs w:val="24"/>
        </w:rPr>
      </w:pPr>
      <w:r>
        <w:rPr>
          <w:color w:val="000000"/>
          <w:sz w:val="24"/>
          <w:szCs w:val="24"/>
        </w:rPr>
        <w:t>wykonaniem oznakowania zgodnego z dokumentacją techniczną wszystkich elementów wyznaczonych w dokumentacji,</w:t>
      </w:r>
    </w:p>
    <w:p>
      <w:pPr>
        <w:pStyle w:val="Normal"/>
        <w:numPr>
          <w:ilvl w:val="0"/>
          <w:numId w:val="2"/>
        </w:numPr>
        <w:shd w:val="clear" w:color="auto" w:fill="FFFFFF"/>
        <w:ind w:hanging="270" w:start="426" w:end="423"/>
        <w:rPr>
          <w:sz w:val="24"/>
          <w:szCs w:val="24"/>
        </w:rPr>
      </w:pPr>
      <w:r>
        <w:rPr>
          <w:color w:val="000000"/>
          <w:sz w:val="24"/>
          <w:szCs w:val="24"/>
        </w:rPr>
        <w:t>wykonaniem oznakowania zgodnego z dokumentacją techniczną wszystkich wyznaczo</w:t>
      </w:r>
      <w:r>
        <w:rPr>
          <w:color w:val="000000"/>
          <w:spacing w:val="-1"/>
          <w:sz w:val="24"/>
          <w:szCs w:val="24"/>
        </w:rPr>
        <w:t>nych kabli i przewodów,</w:t>
      </w:r>
    </w:p>
    <w:p>
      <w:pPr>
        <w:pStyle w:val="Normal"/>
        <w:numPr>
          <w:ilvl w:val="0"/>
          <w:numId w:val="2"/>
        </w:numPr>
        <w:shd w:val="clear" w:color="auto" w:fill="FFFFFF"/>
        <w:ind w:hanging="270" w:start="426" w:end="423"/>
        <w:rPr>
          <w:sz w:val="24"/>
          <w:szCs w:val="24"/>
        </w:rPr>
      </w:pPr>
      <w:r>
        <w:rPr>
          <w:color w:val="000000"/>
          <w:sz w:val="24"/>
          <w:szCs w:val="24"/>
        </w:rPr>
        <w:t>przeprowadzeniem wymaganych prób i badań oraz potwierdzenie protokołami kwalifikującymi montowany element instalacji elektrycznej.</w:t>
      </w:r>
    </w:p>
    <w:p>
      <w:pPr>
        <w:pStyle w:val="Heading2"/>
        <w:numPr>
          <w:ilvl w:val="1"/>
          <w:numId w:val="14"/>
        </w:numPr>
        <w:shd w:val="clear" w:color="auto" w:fill="FFFFFF"/>
        <w:ind w:hanging="432" w:start="426" w:end="423"/>
        <w:rPr>
          <w:rFonts w:ascii="Arial" w:hAnsi="Arial" w:cs="Arial"/>
          <w:sz w:val="24"/>
          <w:szCs w:val="24"/>
        </w:rPr>
      </w:pPr>
      <w:bookmarkStart w:id="11" w:name="_Toc215176909"/>
      <w:bookmarkStart w:id="12" w:name="_Toc535218186"/>
      <w:bookmarkEnd w:id="12"/>
      <w:r>
        <w:rPr>
          <w:rFonts w:cs="Arial" w:ascii="Arial" w:hAnsi="Arial"/>
          <w:color w:val="365F91"/>
          <w:sz w:val="24"/>
          <w:szCs w:val="24"/>
        </w:rPr>
        <w:t>Zakres robót objętych SST</w:t>
      </w:r>
      <w:bookmarkEnd w:id="11"/>
    </w:p>
    <w:p>
      <w:pPr>
        <w:pStyle w:val="Normal"/>
        <w:shd w:val="clear" w:color="auto" w:fill="FFFFFF"/>
        <w:ind w:firstLine="282" w:start="426" w:end="423"/>
        <w:rPr>
          <w:sz w:val="24"/>
          <w:szCs w:val="24"/>
        </w:rPr>
      </w:pPr>
      <w:r>
        <w:rPr>
          <w:color w:val="000000"/>
          <w:spacing w:val="1"/>
          <w:sz w:val="24"/>
          <w:szCs w:val="24"/>
        </w:rPr>
        <w:t xml:space="preserve">Ustalenia zawarte w niniejszej specyfikacji obejmują wymagania ogólne wspólne dla robot objętych specyfikacjami technicznymi </w:t>
      </w:r>
    </w:p>
    <w:p>
      <w:pPr>
        <w:pStyle w:val="Heading2"/>
        <w:numPr>
          <w:ilvl w:val="1"/>
          <w:numId w:val="14"/>
        </w:numPr>
        <w:ind w:hanging="432" w:start="426" w:end="423"/>
        <w:rPr>
          <w:rFonts w:ascii="Arial" w:hAnsi="Arial" w:cs="Arial"/>
          <w:sz w:val="24"/>
          <w:szCs w:val="24"/>
        </w:rPr>
      </w:pPr>
      <w:bookmarkStart w:id="13" w:name="_Toc215176910"/>
      <w:bookmarkStart w:id="14" w:name="_Toc535218187"/>
      <w:bookmarkEnd w:id="14"/>
      <w:r>
        <w:rPr>
          <w:rFonts w:cs="Arial" w:ascii="Arial" w:hAnsi="Arial"/>
          <w:sz w:val="24"/>
          <w:szCs w:val="24"/>
        </w:rPr>
        <w:t>Określenia podstawowe, definicje</w:t>
      </w:r>
      <w:bookmarkEnd w:id="13"/>
    </w:p>
    <w:p>
      <w:pPr>
        <w:pStyle w:val="Normal"/>
        <w:shd w:val="clear" w:color="auto" w:fill="FFFFFF"/>
        <w:ind w:firstLine="282" w:start="426" w:end="423"/>
        <w:rPr>
          <w:sz w:val="24"/>
          <w:szCs w:val="24"/>
        </w:rPr>
      </w:pPr>
      <w:r>
        <w:rPr>
          <w:color w:val="000000"/>
          <w:spacing w:val="1"/>
          <w:sz w:val="24"/>
          <w:szCs w:val="24"/>
        </w:rPr>
        <w:t xml:space="preserve">Określenia podane w niniejszej specyfikacji technicznej (ST) są zgodne z odpowiednimi </w:t>
      </w:r>
      <w:r>
        <w:rPr>
          <w:color w:val="000000"/>
          <w:spacing w:val="3"/>
          <w:sz w:val="24"/>
          <w:szCs w:val="24"/>
        </w:rPr>
        <w:t xml:space="preserve">normami oraz określeniami podanymi w ST „Wymagania ogólne" Kod CPV 45000000-7, </w:t>
      </w:r>
      <w:r>
        <w:rPr>
          <w:color w:val="000000"/>
          <w:spacing w:val="-1"/>
          <w:sz w:val="24"/>
          <w:szCs w:val="24"/>
        </w:rPr>
        <w:t>pkt 1.4. a także podanymi poniżej:</w:t>
      </w:r>
    </w:p>
    <w:p>
      <w:pPr>
        <w:pStyle w:val="Normal"/>
        <w:shd w:val="clear" w:color="auto" w:fill="FFFFFF"/>
        <w:ind w:start="426" w:end="423"/>
        <w:rPr>
          <w:sz w:val="24"/>
          <w:szCs w:val="24"/>
        </w:rPr>
      </w:pPr>
      <w:r>
        <w:rPr>
          <w:b/>
          <w:bCs/>
          <w:color w:val="000000"/>
          <w:sz w:val="24"/>
          <w:szCs w:val="24"/>
        </w:rPr>
        <w:t xml:space="preserve">Specyfikacja techniczna </w:t>
      </w:r>
      <w:r>
        <w:rPr>
          <w:color w:val="000000"/>
          <w:sz w:val="24"/>
          <w:szCs w:val="24"/>
        </w:rPr>
        <w:t>- dokument zawierający zespół cech wymaganych dla procesu wytwarzania lub dla samego wyrobu, w zakresie parametrów technicznych, jakości, wymogów bezpieczeństwa, wielkości charakterystycznych a także co do nazewnictwa, symboliki, znaków i sposobów oznaczania, metod badań i prób oraz odbiorów i rozliczeń.</w:t>
      </w:r>
    </w:p>
    <w:p>
      <w:pPr>
        <w:pStyle w:val="Normal"/>
        <w:shd w:val="clear" w:color="auto" w:fill="FFFFFF"/>
        <w:ind w:start="426" w:end="423"/>
        <w:rPr>
          <w:sz w:val="24"/>
          <w:szCs w:val="24"/>
        </w:rPr>
      </w:pPr>
      <w:r>
        <w:rPr>
          <w:b/>
          <w:bCs/>
          <w:color w:val="000000"/>
          <w:sz w:val="24"/>
          <w:szCs w:val="24"/>
        </w:rPr>
        <w:t xml:space="preserve">Aprobata techniczna </w:t>
      </w:r>
      <w:r>
        <w:rPr>
          <w:color w:val="000000"/>
          <w:sz w:val="24"/>
          <w:szCs w:val="24"/>
        </w:rPr>
        <w:t>- dokument stwierdzający przydatność, dane wyrobu do określonego obszaru zastosowania. Zawiera ustalenia techniczne co do wymagań podstawowych wyrobu oraz metodykę badań dla potwierdzenia tych wymagań.</w:t>
      </w:r>
    </w:p>
    <w:p>
      <w:pPr>
        <w:pStyle w:val="Normal"/>
        <w:shd w:val="clear" w:color="auto" w:fill="FFFFFF"/>
        <w:ind w:start="426" w:end="423"/>
        <w:rPr>
          <w:sz w:val="24"/>
          <w:szCs w:val="24"/>
        </w:rPr>
      </w:pPr>
      <w:r>
        <w:rPr>
          <w:b/>
          <w:bCs/>
          <w:color w:val="000000"/>
          <w:sz w:val="24"/>
          <w:szCs w:val="24"/>
        </w:rPr>
        <w:t xml:space="preserve">Deklaracja zgodności </w:t>
      </w:r>
      <w:r>
        <w:rPr>
          <w:color w:val="000000"/>
          <w:sz w:val="24"/>
          <w:szCs w:val="24"/>
        </w:rPr>
        <w:t xml:space="preserve">- dokument w formie oświadczenia wydany przez producenta, </w:t>
      </w:r>
      <w:r>
        <w:rPr>
          <w:color w:val="000000"/>
          <w:spacing w:val="-1"/>
          <w:sz w:val="24"/>
          <w:szCs w:val="24"/>
        </w:rPr>
        <w:t xml:space="preserve">stwierdzający zgodność z kryteriami określonymi odpowiednimi aktami prawnymi, normami, </w:t>
      </w:r>
      <w:r>
        <w:rPr>
          <w:color w:val="000000"/>
          <w:sz w:val="24"/>
          <w:szCs w:val="24"/>
        </w:rPr>
        <w:t>przepisami, wymogami lub specyfikacją techniczną dla danego materiału lub wyrobu.</w:t>
      </w:r>
    </w:p>
    <w:p>
      <w:pPr>
        <w:pStyle w:val="Normal"/>
        <w:shd w:val="clear" w:color="auto" w:fill="FFFFFF"/>
        <w:ind w:start="426" w:end="423"/>
        <w:rPr>
          <w:sz w:val="24"/>
          <w:szCs w:val="24"/>
        </w:rPr>
      </w:pPr>
      <w:r>
        <w:rPr>
          <w:b/>
          <w:bCs/>
          <w:color w:val="000000"/>
          <w:spacing w:val="-2"/>
          <w:sz w:val="24"/>
          <w:szCs w:val="24"/>
        </w:rPr>
        <w:t xml:space="preserve">Certyfikat zgodności </w:t>
      </w:r>
      <w:r>
        <w:rPr>
          <w:color w:val="000000"/>
          <w:spacing w:val="-2"/>
          <w:sz w:val="24"/>
          <w:szCs w:val="24"/>
        </w:rPr>
        <w:t>- dokument wydany przez upoważnioną jednostkę badającą (certyfiku</w:t>
        <w:softHyphen/>
      </w:r>
      <w:r>
        <w:rPr>
          <w:color w:val="000000"/>
          <w:spacing w:val="-1"/>
          <w:sz w:val="24"/>
          <w:szCs w:val="24"/>
        </w:rPr>
        <w:t>jącą), stwierdzający zgodność z kryteriami określonymi odpowiednimi aktami prawnymi, nor</w:t>
        <w:softHyphen/>
      </w:r>
      <w:r>
        <w:rPr>
          <w:color w:val="000000"/>
          <w:spacing w:val="-3"/>
          <w:sz w:val="24"/>
          <w:szCs w:val="24"/>
        </w:rPr>
        <w:t>mami, przepisami, wymogami lub specyfikacją techniczną dla badanego materiału lub wyrobu.</w:t>
      </w:r>
    </w:p>
    <w:p>
      <w:pPr>
        <w:pStyle w:val="Normal"/>
        <w:shd w:val="clear" w:color="auto" w:fill="FFFFFF"/>
        <w:ind w:start="426" w:end="423"/>
        <w:rPr>
          <w:sz w:val="24"/>
          <w:szCs w:val="24"/>
        </w:rPr>
      </w:pPr>
      <w:r>
        <w:rPr>
          <w:b/>
          <w:bCs/>
          <w:color w:val="000000"/>
          <w:spacing w:val="-6"/>
          <w:sz w:val="24"/>
          <w:szCs w:val="24"/>
        </w:rPr>
        <w:t xml:space="preserve">Część czynna </w:t>
      </w:r>
      <w:r>
        <w:rPr>
          <w:color w:val="000000"/>
          <w:spacing w:val="-6"/>
          <w:sz w:val="24"/>
          <w:szCs w:val="24"/>
        </w:rPr>
        <w:t>- przewód lub inny element przewodzący, wchodzący w skład instalacji elektrycznej lub urządzenia, który w warunkach normalnej pracy instalacji elektrycznej może być pod napięciem a nie spełnia funkcji przewodu ochronnego (przewody ochronne PE i PEN nie są częścią czynną).</w:t>
      </w:r>
    </w:p>
    <w:p>
      <w:pPr>
        <w:pStyle w:val="Normal"/>
        <w:shd w:val="clear" w:color="auto" w:fill="FFFFFF"/>
        <w:ind w:start="426" w:end="423"/>
        <w:rPr>
          <w:sz w:val="24"/>
          <w:szCs w:val="24"/>
        </w:rPr>
      </w:pPr>
      <w:r>
        <w:rPr>
          <w:b/>
          <w:bCs/>
          <w:color w:val="000000"/>
          <w:sz w:val="24"/>
          <w:szCs w:val="24"/>
        </w:rPr>
        <w:t xml:space="preserve">Połączenia wyrównawcze </w:t>
      </w:r>
      <w:r>
        <w:rPr>
          <w:color w:val="000000"/>
          <w:sz w:val="24"/>
          <w:szCs w:val="24"/>
        </w:rPr>
        <w:t>- elektryczne połączenie części przewodzących dostępnych lub obcych w celu wyrównania potencjału.</w:t>
      </w:r>
    </w:p>
    <w:p>
      <w:pPr>
        <w:pStyle w:val="Normal"/>
        <w:shd w:val="clear" w:color="auto" w:fill="FFFFFF"/>
        <w:ind w:start="426" w:end="423"/>
        <w:rPr>
          <w:sz w:val="24"/>
          <w:szCs w:val="24"/>
        </w:rPr>
      </w:pPr>
      <w:r>
        <w:rPr>
          <w:b/>
          <w:bCs/>
          <w:color w:val="000000"/>
          <w:sz w:val="24"/>
          <w:szCs w:val="24"/>
        </w:rPr>
        <w:t xml:space="preserve">Kable i przewody </w:t>
      </w:r>
      <w:r>
        <w:rPr>
          <w:color w:val="000000"/>
          <w:sz w:val="24"/>
          <w:szCs w:val="24"/>
        </w:rPr>
        <w:t>- materiały służące do dostarczania energii elektrycznej, sygnałów, impulsów elektrycznych w wybrane miejsce.</w:t>
      </w:r>
    </w:p>
    <w:p>
      <w:pPr>
        <w:pStyle w:val="Normal"/>
        <w:shd w:val="clear" w:color="auto" w:fill="FFFFFF"/>
        <w:ind w:start="426" w:end="423"/>
        <w:rPr>
          <w:sz w:val="24"/>
          <w:szCs w:val="24"/>
        </w:rPr>
      </w:pPr>
      <w:r>
        <w:rPr>
          <w:b/>
          <w:bCs/>
          <w:color w:val="000000"/>
          <w:spacing w:val="-2"/>
          <w:sz w:val="24"/>
          <w:szCs w:val="24"/>
        </w:rPr>
        <w:t xml:space="preserve">Osprzęt instalacyjny do kabli i przewodów </w:t>
      </w:r>
      <w:r>
        <w:rPr>
          <w:color w:val="000000"/>
          <w:spacing w:val="-2"/>
          <w:sz w:val="24"/>
          <w:szCs w:val="24"/>
        </w:rPr>
        <w:t>- zespół materiałów dodatkowych, stosowanych przy układaniu przewodów, ułatwiający ich montaż oraz dotarcie w przypadku awarii, zabezpieczający przed uszkodzeniami, wytyczający trasy ciągów równoległych przewodów itp.</w:t>
      </w:r>
    </w:p>
    <w:p>
      <w:pPr>
        <w:pStyle w:val="Normal"/>
        <w:shd w:val="clear" w:color="auto" w:fill="FFFFFF"/>
        <w:ind w:start="426" w:end="423"/>
        <w:rPr>
          <w:sz w:val="24"/>
          <w:szCs w:val="24"/>
        </w:rPr>
      </w:pPr>
      <w:r>
        <w:rPr>
          <w:color w:val="000000"/>
          <w:sz w:val="24"/>
          <w:szCs w:val="24"/>
        </w:rPr>
        <w:t>Grupy materiałów stanowiących osprzęt instalacyjny do kabli i przewodów:</w:t>
      </w:r>
    </w:p>
    <w:p>
      <w:pPr>
        <w:pStyle w:val="Normal"/>
        <w:numPr>
          <w:ilvl w:val="0"/>
          <w:numId w:val="3"/>
        </w:numPr>
        <w:shd w:val="clear" w:color="auto" w:fill="FFFFFF"/>
        <w:ind w:start="426" w:end="423"/>
        <w:rPr>
          <w:sz w:val="24"/>
          <w:szCs w:val="24"/>
        </w:rPr>
      </w:pPr>
      <w:r>
        <w:rPr>
          <w:color w:val="000000"/>
          <w:sz w:val="24"/>
          <w:szCs w:val="24"/>
        </w:rPr>
        <w:t>przepusty kablowe i osłony krawędzi,</w:t>
      </w:r>
    </w:p>
    <w:p>
      <w:pPr>
        <w:pStyle w:val="Normal"/>
        <w:numPr>
          <w:ilvl w:val="0"/>
          <w:numId w:val="3"/>
        </w:numPr>
        <w:shd w:val="clear" w:color="auto" w:fill="FFFFFF"/>
        <w:ind w:start="426" w:end="423"/>
        <w:rPr>
          <w:sz w:val="24"/>
          <w:szCs w:val="24"/>
        </w:rPr>
      </w:pPr>
      <w:r>
        <w:rPr>
          <w:color w:val="000000"/>
          <w:spacing w:val="-1"/>
          <w:sz w:val="24"/>
          <w:szCs w:val="24"/>
        </w:rPr>
        <w:t>drabinki instalacyjne,</w:t>
      </w:r>
    </w:p>
    <w:p>
      <w:pPr>
        <w:pStyle w:val="Normal"/>
        <w:numPr>
          <w:ilvl w:val="0"/>
          <w:numId w:val="3"/>
        </w:numPr>
        <w:shd w:val="clear" w:color="auto" w:fill="FFFFFF"/>
        <w:ind w:start="426" w:end="423"/>
        <w:rPr>
          <w:sz w:val="24"/>
          <w:szCs w:val="24"/>
        </w:rPr>
      </w:pPr>
      <w:r>
        <w:rPr>
          <w:color w:val="000000"/>
          <w:sz w:val="24"/>
          <w:szCs w:val="24"/>
        </w:rPr>
        <w:t>koryta i korytka instalacyjne,</w:t>
      </w:r>
    </w:p>
    <w:p>
      <w:pPr>
        <w:pStyle w:val="Normal"/>
        <w:numPr>
          <w:ilvl w:val="0"/>
          <w:numId w:val="3"/>
        </w:numPr>
        <w:shd w:val="clear" w:color="auto" w:fill="FFFFFF"/>
        <w:ind w:start="426" w:end="423"/>
        <w:rPr>
          <w:sz w:val="24"/>
          <w:szCs w:val="24"/>
        </w:rPr>
      </w:pPr>
      <w:r>
        <w:rPr>
          <w:color w:val="000000"/>
          <w:sz w:val="24"/>
          <w:szCs w:val="24"/>
        </w:rPr>
        <w:t>kanały i listwy instalacyjne,</w:t>
      </w:r>
    </w:p>
    <w:p>
      <w:pPr>
        <w:pStyle w:val="Normal"/>
        <w:numPr>
          <w:ilvl w:val="0"/>
          <w:numId w:val="3"/>
        </w:numPr>
        <w:shd w:val="clear" w:color="auto" w:fill="FFFFFF"/>
        <w:ind w:start="426" w:end="423"/>
        <w:rPr>
          <w:sz w:val="24"/>
          <w:szCs w:val="24"/>
        </w:rPr>
      </w:pPr>
      <w:r>
        <w:rPr>
          <w:color w:val="000000"/>
          <w:spacing w:val="-1"/>
          <w:sz w:val="24"/>
          <w:szCs w:val="24"/>
        </w:rPr>
        <w:t>rury instalacyjne,</w:t>
      </w:r>
    </w:p>
    <w:p>
      <w:pPr>
        <w:pStyle w:val="Normal"/>
        <w:numPr>
          <w:ilvl w:val="0"/>
          <w:numId w:val="3"/>
        </w:numPr>
        <w:shd w:val="clear" w:color="auto" w:fill="FFFFFF"/>
        <w:ind w:start="426" w:end="423"/>
        <w:rPr>
          <w:sz w:val="24"/>
          <w:szCs w:val="24"/>
        </w:rPr>
      </w:pPr>
      <w:r>
        <w:rPr>
          <w:color w:val="000000"/>
          <w:spacing w:val="-1"/>
          <w:sz w:val="24"/>
          <w:szCs w:val="24"/>
        </w:rPr>
        <w:t>kanały podłogowe,</w:t>
      </w:r>
    </w:p>
    <w:p>
      <w:pPr>
        <w:pStyle w:val="Normal"/>
        <w:numPr>
          <w:ilvl w:val="0"/>
          <w:numId w:val="3"/>
        </w:numPr>
        <w:shd w:val="clear" w:color="auto" w:fill="FFFFFF"/>
        <w:ind w:start="426" w:end="423"/>
        <w:rPr>
          <w:sz w:val="24"/>
          <w:szCs w:val="24"/>
        </w:rPr>
      </w:pPr>
      <w:r>
        <w:rPr>
          <w:color w:val="000000"/>
          <w:spacing w:val="-1"/>
          <w:sz w:val="24"/>
          <w:szCs w:val="24"/>
        </w:rPr>
        <w:t>systemy mocujące,</w:t>
      </w:r>
    </w:p>
    <w:p>
      <w:pPr>
        <w:pStyle w:val="Normal"/>
        <w:numPr>
          <w:ilvl w:val="0"/>
          <w:numId w:val="3"/>
        </w:numPr>
        <w:shd w:val="clear" w:color="auto" w:fill="FFFFFF"/>
        <w:ind w:start="426" w:end="423"/>
        <w:rPr>
          <w:sz w:val="24"/>
          <w:szCs w:val="24"/>
        </w:rPr>
      </w:pPr>
      <w:r>
        <w:rPr>
          <w:color w:val="000000"/>
          <w:sz w:val="24"/>
          <w:szCs w:val="24"/>
        </w:rPr>
        <w:t>puszki elektroinstalacyjne,</w:t>
      </w:r>
    </w:p>
    <w:p>
      <w:pPr>
        <w:pStyle w:val="Normal"/>
        <w:numPr>
          <w:ilvl w:val="0"/>
          <w:numId w:val="3"/>
        </w:numPr>
        <w:shd w:val="clear" w:color="auto" w:fill="FFFFFF"/>
        <w:ind w:start="426" w:end="423"/>
        <w:rPr>
          <w:sz w:val="24"/>
          <w:szCs w:val="24"/>
        </w:rPr>
      </w:pPr>
      <w:r>
        <w:rPr>
          <w:color w:val="000000"/>
          <w:sz w:val="24"/>
          <w:szCs w:val="24"/>
        </w:rPr>
        <w:t>końcówki kablowe, zaciski i konektory,</w:t>
      </w:r>
    </w:p>
    <w:p>
      <w:pPr>
        <w:pStyle w:val="Normal"/>
        <w:numPr>
          <w:ilvl w:val="0"/>
          <w:numId w:val="3"/>
        </w:numPr>
        <w:shd w:val="clear" w:color="auto" w:fill="FFFFFF"/>
        <w:ind w:hanging="284" w:start="426" w:end="423"/>
        <w:rPr>
          <w:sz w:val="24"/>
          <w:szCs w:val="24"/>
        </w:rPr>
      </w:pPr>
      <w:r>
        <w:rPr>
          <w:color w:val="000000"/>
          <w:spacing w:val="3"/>
          <w:sz w:val="24"/>
          <w:szCs w:val="24"/>
        </w:rPr>
        <w:t xml:space="preserve">pozostały osprzęt (oznaczniki przewodów, linki nośne i systemy naciągowe, dławice, </w:t>
      </w:r>
      <w:r>
        <w:rPr>
          <w:color w:val="000000"/>
          <w:sz w:val="24"/>
          <w:szCs w:val="24"/>
        </w:rPr>
        <w:t>złączki i szyny, zaciski ochronne itp.).</w:t>
      </w:r>
    </w:p>
    <w:p>
      <w:pPr>
        <w:pStyle w:val="Normal"/>
        <w:shd w:val="clear" w:color="auto" w:fill="FFFFFF"/>
        <w:ind w:start="426" w:end="423"/>
        <w:rPr>
          <w:sz w:val="24"/>
          <w:szCs w:val="24"/>
        </w:rPr>
      </w:pPr>
      <w:r>
        <w:rPr>
          <w:b/>
          <w:bCs/>
          <w:color w:val="000000"/>
          <w:sz w:val="24"/>
          <w:szCs w:val="24"/>
        </w:rPr>
        <w:t xml:space="preserve">Urządzenia elektryczne </w:t>
      </w:r>
      <w:r>
        <w:rPr>
          <w:color w:val="000000"/>
          <w:sz w:val="24"/>
          <w:szCs w:val="24"/>
        </w:rPr>
        <w:t xml:space="preserve">- wszelkie urządzenia i elementy instalacji elektrycznej przeznaczone do wytwarzania, przekształcania, przesyłania, rozdziału lub wykorzystania energii </w:t>
      </w:r>
      <w:r>
        <w:rPr>
          <w:color w:val="000000"/>
          <w:spacing w:val="-1"/>
          <w:sz w:val="24"/>
          <w:szCs w:val="24"/>
        </w:rPr>
        <w:t>elektrycznej.</w:t>
      </w:r>
    </w:p>
    <w:p>
      <w:pPr>
        <w:pStyle w:val="Normal"/>
        <w:shd w:val="clear" w:color="auto" w:fill="FFFFFF"/>
        <w:ind w:start="426" w:end="423"/>
        <w:rPr>
          <w:sz w:val="24"/>
          <w:szCs w:val="24"/>
        </w:rPr>
      </w:pPr>
      <w:r>
        <w:rPr>
          <w:b/>
          <w:bCs/>
          <w:color w:val="000000"/>
          <w:spacing w:val="-1"/>
          <w:sz w:val="24"/>
          <w:szCs w:val="24"/>
        </w:rPr>
        <w:t xml:space="preserve">Odbiorniki energii elektrycznej </w:t>
      </w:r>
      <w:r>
        <w:rPr>
          <w:color w:val="000000"/>
          <w:spacing w:val="-1"/>
          <w:sz w:val="24"/>
          <w:szCs w:val="24"/>
        </w:rPr>
        <w:t>- urządzenia przeznaczone do przetwarzania energii elek</w:t>
      </w:r>
      <w:r>
        <w:rPr>
          <w:color w:val="000000"/>
          <w:sz w:val="24"/>
          <w:szCs w:val="24"/>
        </w:rPr>
        <w:t>trycznej w inną formę energii (światło, ciepło, energię mechaniczną itp.).</w:t>
      </w:r>
    </w:p>
    <w:p>
      <w:pPr>
        <w:pStyle w:val="Normal"/>
        <w:shd w:val="clear" w:color="auto" w:fill="FFFFFF"/>
        <w:ind w:start="426" w:end="423"/>
        <w:rPr>
          <w:sz w:val="24"/>
          <w:szCs w:val="24"/>
        </w:rPr>
      </w:pPr>
      <w:r>
        <w:rPr>
          <w:b/>
          <w:bCs/>
          <w:color w:val="000000"/>
          <w:spacing w:val="1"/>
          <w:sz w:val="24"/>
          <w:szCs w:val="24"/>
        </w:rPr>
        <w:t xml:space="preserve">Klasa ochronności </w:t>
      </w:r>
      <w:r>
        <w:rPr>
          <w:color w:val="000000"/>
          <w:spacing w:val="1"/>
          <w:sz w:val="24"/>
          <w:szCs w:val="24"/>
        </w:rPr>
        <w:t xml:space="preserve">- umowne oznaczenie, określające możliwości ochronne urządzenia, </w:t>
      </w:r>
      <w:r>
        <w:rPr>
          <w:color w:val="000000"/>
          <w:sz w:val="24"/>
          <w:szCs w:val="24"/>
        </w:rPr>
        <w:t>ze względu na jego cechy budowy, przy bezpośrednim dotyku.</w:t>
      </w:r>
    </w:p>
    <w:p>
      <w:pPr>
        <w:pStyle w:val="Normal"/>
        <w:shd w:val="clear" w:color="auto" w:fill="FFFFFF"/>
        <w:ind w:start="426" w:end="423"/>
        <w:rPr>
          <w:sz w:val="24"/>
          <w:szCs w:val="24"/>
        </w:rPr>
      </w:pPr>
      <w:r>
        <w:rPr>
          <w:b/>
          <w:bCs/>
          <w:color w:val="000000"/>
          <w:spacing w:val="2"/>
          <w:sz w:val="24"/>
          <w:szCs w:val="24"/>
        </w:rPr>
        <w:t xml:space="preserve">Oprawa oświetleniowa (elektryczna) </w:t>
      </w:r>
      <w:r>
        <w:rPr>
          <w:color w:val="000000"/>
          <w:spacing w:val="2"/>
          <w:sz w:val="24"/>
          <w:szCs w:val="24"/>
        </w:rPr>
        <w:t>- kompletne urządzenie służące do przymocowa</w:t>
      </w:r>
      <w:r>
        <w:rPr>
          <w:color w:val="000000"/>
          <w:spacing w:val="1"/>
          <w:sz w:val="24"/>
          <w:szCs w:val="24"/>
        </w:rPr>
        <w:t>nia i połączenia z instalacją elektryczną jednego lub kilku źródeł światła, ochrony źródeł światła przed wpływami zewnętrznymi i ochrony środowiska przed szkodliwym działaniem źródła światła a także do uzyskania odpowiednich parametrów świetlnych (bryła fotome</w:t>
      </w:r>
      <w:r>
        <w:rPr>
          <w:color w:val="000000"/>
          <w:spacing w:val="2"/>
          <w:sz w:val="24"/>
          <w:szCs w:val="24"/>
        </w:rPr>
        <w:t>tryczna, luminacja), ułatwia właściwe umiejscowienie i bezpieczną wymianę źródeł świa</w:t>
      </w:r>
      <w:r>
        <w:rPr>
          <w:color w:val="000000"/>
          <w:spacing w:val="1"/>
          <w:sz w:val="24"/>
          <w:szCs w:val="24"/>
        </w:rPr>
        <w:t xml:space="preserve">tła, tworzy estetyczne formy wymagane dla danego typu pomieszczenia. Elementami </w:t>
      </w:r>
      <w:r>
        <w:rPr>
          <w:color w:val="000000"/>
          <w:spacing w:val="2"/>
          <w:sz w:val="24"/>
          <w:szCs w:val="24"/>
        </w:rPr>
        <w:t>dodatkowymi są osłony lub elementy ukierunkowania źródeł światła w formie: klosza, odbłyśnika, rastra, abażuru.</w:t>
      </w:r>
    </w:p>
    <w:p>
      <w:pPr>
        <w:pStyle w:val="Normal"/>
        <w:shd w:val="clear" w:color="auto" w:fill="FFFFFF"/>
        <w:ind w:start="426" w:end="423"/>
        <w:rPr>
          <w:sz w:val="24"/>
          <w:szCs w:val="24"/>
        </w:rPr>
      </w:pPr>
      <w:r>
        <w:rPr>
          <w:b/>
          <w:bCs/>
          <w:color w:val="000000"/>
          <w:spacing w:val="-1"/>
          <w:sz w:val="24"/>
          <w:szCs w:val="24"/>
        </w:rPr>
        <w:t xml:space="preserve">Stopień ochrony IP </w:t>
      </w:r>
      <w:r>
        <w:rPr>
          <w:color w:val="000000"/>
          <w:spacing w:val="-1"/>
          <w:sz w:val="24"/>
          <w:szCs w:val="24"/>
        </w:rPr>
        <w:t xml:space="preserve">- określona w PN-EN 60529:2003, umowna miara ochrony przed dotykiem elementów instalacji elektrycznej oraz przed przedostaniem się ciał stałych, wnikaniem </w:t>
      </w:r>
      <w:r>
        <w:rPr>
          <w:color w:val="000000"/>
          <w:sz w:val="24"/>
          <w:szCs w:val="24"/>
        </w:rPr>
        <w:t>cieczy (szczególnie wody) i gazów, a którą zapewnia odpowiednia obudowa.</w:t>
      </w:r>
    </w:p>
    <w:p>
      <w:pPr>
        <w:pStyle w:val="Normal"/>
        <w:shd w:val="clear" w:color="auto" w:fill="FFFFFF"/>
        <w:ind w:start="426" w:end="423"/>
        <w:rPr>
          <w:sz w:val="24"/>
          <w:szCs w:val="24"/>
        </w:rPr>
      </w:pPr>
      <w:r>
        <w:rPr>
          <w:b/>
          <w:bCs/>
          <w:color w:val="000000"/>
          <w:sz w:val="24"/>
          <w:szCs w:val="24"/>
        </w:rPr>
        <w:t xml:space="preserve">Obwód instalacji elektrycznej </w:t>
      </w:r>
      <w:r>
        <w:rPr>
          <w:color w:val="000000"/>
          <w:sz w:val="24"/>
          <w:szCs w:val="24"/>
        </w:rPr>
        <w:t>- zespół elementów połączonych pośrednio lub bezpośrednio ze źródłem energii elektrycznej za pomocą chronionego przed przetężeniem wspólnym zabezpieczeniem, kompletu odpowiednio połączonych przewodów elektrycznych. W skład obwodu elektrycznego wchodzą przewody pod napięciem, przewody ochronne oraz wszelkie urządzenia zmieniające parametry elektryczne obwodu, rozdzielcze, sterownicze i sygnalizacyjne, związane z danym punktem zasilania w energię (zabezpieczeniem).</w:t>
      </w:r>
    </w:p>
    <w:p>
      <w:pPr>
        <w:pStyle w:val="Normal"/>
        <w:shd w:val="clear" w:color="auto" w:fill="FFFFFF"/>
        <w:ind w:start="426" w:end="423"/>
        <w:rPr>
          <w:sz w:val="24"/>
          <w:szCs w:val="24"/>
        </w:rPr>
      </w:pPr>
      <w:r>
        <w:rPr>
          <w:b/>
          <w:bCs/>
          <w:color w:val="000000"/>
          <w:spacing w:val="6"/>
          <w:sz w:val="24"/>
          <w:szCs w:val="24"/>
        </w:rPr>
        <w:t xml:space="preserve">Przygotowanie podłoża </w:t>
      </w:r>
      <w:r>
        <w:rPr>
          <w:color w:val="000000"/>
          <w:spacing w:val="6"/>
          <w:sz w:val="24"/>
          <w:szCs w:val="24"/>
        </w:rPr>
        <w:t xml:space="preserve">- zespół czynności wykonywanych przed zamocowaniem </w:t>
      </w:r>
      <w:r>
        <w:rPr>
          <w:color w:val="000000"/>
          <w:spacing w:val="2"/>
          <w:sz w:val="24"/>
          <w:szCs w:val="24"/>
        </w:rPr>
        <w:t>osprzętu instalacyjnego, urządzenia elektrycznego, odbiornika energii elektrycznej, ukła</w:t>
      </w:r>
      <w:r>
        <w:rPr>
          <w:color w:val="000000"/>
          <w:spacing w:val="4"/>
          <w:sz w:val="24"/>
          <w:szCs w:val="24"/>
        </w:rPr>
        <w:t xml:space="preserve">daniem kabli i przewodów mający na celu zapewnienie możliwości ich zamocowania </w:t>
      </w:r>
      <w:r>
        <w:rPr>
          <w:color w:val="000000"/>
          <w:spacing w:val="2"/>
          <w:sz w:val="24"/>
          <w:szCs w:val="24"/>
        </w:rPr>
        <w:t>zgodnie z dokumentacją.</w:t>
      </w:r>
    </w:p>
    <w:p>
      <w:pPr>
        <w:pStyle w:val="Normal"/>
        <w:shd w:val="clear" w:color="auto" w:fill="FFFFFF"/>
        <w:ind w:start="426" w:end="423"/>
        <w:rPr>
          <w:sz w:val="24"/>
          <w:szCs w:val="24"/>
        </w:rPr>
      </w:pPr>
      <w:r>
        <w:rPr>
          <w:color w:val="000000"/>
          <w:spacing w:val="-1"/>
          <w:sz w:val="24"/>
          <w:szCs w:val="24"/>
        </w:rPr>
        <w:t>Do prac przygotowawczych zalicza się następujące grupy czynności:</w:t>
      </w:r>
    </w:p>
    <w:p>
      <w:pPr>
        <w:pStyle w:val="Normal"/>
        <w:numPr>
          <w:ilvl w:val="0"/>
          <w:numId w:val="3"/>
        </w:numPr>
        <w:shd w:val="clear" w:color="auto" w:fill="FFFFFF"/>
        <w:ind w:start="426" w:end="423"/>
        <w:rPr>
          <w:sz w:val="24"/>
          <w:szCs w:val="24"/>
        </w:rPr>
      </w:pPr>
      <w:r>
        <w:rPr>
          <w:color w:val="000000"/>
          <w:sz w:val="24"/>
          <w:szCs w:val="24"/>
        </w:rPr>
        <w:t>wiercenie i przebijanie otworów przelotowych i nieprzelotowych,</w:t>
      </w:r>
    </w:p>
    <w:p>
      <w:pPr>
        <w:pStyle w:val="Normal"/>
        <w:numPr>
          <w:ilvl w:val="0"/>
          <w:numId w:val="3"/>
        </w:numPr>
        <w:shd w:val="clear" w:color="auto" w:fill="FFFFFF"/>
        <w:ind w:start="426" w:end="423"/>
        <w:rPr>
          <w:sz w:val="24"/>
          <w:szCs w:val="24"/>
        </w:rPr>
      </w:pPr>
      <w:r>
        <w:rPr>
          <w:color w:val="000000"/>
          <w:spacing w:val="-1"/>
          <w:sz w:val="24"/>
          <w:szCs w:val="24"/>
        </w:rPr>
        <w:t>kucie bruzd i</w:t>
      </w:r>
      <w:r>
        <w:rPr>
          <w:b/>
          <w:bCs/>
          <w:color w:val="000000"/>
          <w:spacing w:val="-1"/>
          <w:sz w:val="24"/>
          <w:szCs w:val="24"/>
        </w:rPr>
        <w:t xml:space="preserve"> </w:t>
      </w:r>
      <w:r>
        <w:rPr>
          <w:color w:val="000000"/>
          <w:spacing w:val="-1"/>
          <w:sz w:val="24"/>
          <w:szCs w:val="24"/>
        </w:rPr>
        <w:t>wnęk,</w:t>
      </w:r>
    </w:p>
    <w:p>
      <w:pPr>
        <w:pStyle w:val="Normal"/>
        <w:numPr>
          <w:ilvl w:val="0"/>
          <w:numId w:val="3"/>
        </w:numPr>
        <w:shd w:val="clear" w:color="auto" w:fill="FFFFFF"/>
        <w:ind w:start="426" w:end="423"/>
        <w:rPr>
          <w:sz w:val="24"/>
          <w:szCs w:val="24"/>
        </w:rPr>
      </w:pPr>
      <w:r>
        <w:rPr>
          <w:color w:val="000000"/>
          <w:sz w:val="24"/>
          <w:szCs w:val="24"/>
        </w:rPr>
        <w:t>osadzanie kołków w podłożu, w tym ich wstrzeliwanie,</w:t>
      </w:r>
    </w:p>
    <w:p>
      <w:pPr>
        <w:pStyle w:val="Normal"/>
        <w:numPr>
          <w:ilvl w:val="0"/>
          <w:numId w:val="4"/>
        </w:numPr>
        <w:shd w:val="clear" w:color="auto" w:fill="FFFFFF"/>
        <w:ind w:start="426" w:end="423"/>
        <w:rPr>
          <w:sz w:val="24"/>
          <w:szCs w:val="24"/>
        </w:rPr>
      </w:pPr>
      <w:r>
        <w:rPr>
          <w:color w:val="000000"/>
          <w:spacing w:val="-1"/>
          <w:sz w:val="24"/>
          <w:szCs w:val="24"/>
        </w:rPr>
        <w:t>montaż uchwytów do rur i przewodów,</w:t>
      </w:r>
    </w:p>
    <w:p>
      <w:pPr>
        <w:pStyle w:val="Normal"/>
        <w:numPr>
          <w:ilvl w:val="0"/>
          <w:numId w:val="4"/>
        </w:numPr>
        <w:shd w:val="clear" w:color="auto" w:fill="FFFFFF"/>
        <w:ind w:hanging="288" w:start="426" w:end="423"/>
        <w:rPr>
          <w:sz w:val="24"/>
          <w:szCs w:val="24"/>
        </w:rPr>
      </w:pPr>
      <w:r>
        <w:rPr>
          <w:color w:val="000000"/>
          <w:sz w:val="24"/>
          <w:szCs w:val="24"/>
        </w:rPr>
        <w:t>montaż konstrukcji wsporczych do korytek, drabinek, instalacji wiązkowych, szynoprze</w:t>
      </w:r>
      <w:r>
        <w:rPr>
          <w:color w:val="000000"/>
          <w:spacing w:val="-4"/>
          <w:sz w:val="24"/>
          <w:szCs w:val="24"/>
        </w:rPr>
        <w:t>wodów,</w:t>
      </w:r>
    </w:p>
    <w:p>
      <w:pPr>
        <w:pStyle w:val="Normal"/>
        <w:numPr>
          <w:ilvl w:val="0"/>
          <w:numId w:val="4"/>
        </w:numPr>
        <w:shd w:val="clear" w:color="auto" w:fill="FFFFFF"/>
        <w:ind w:start="426" w:end="423"/>
        <w:rPr>
          <w:sz w:val="24"/>
          <w:szCs w:val="24"/>
        </w:rPr>
      </w:pPr>
      <w:r>
        <w:rPr>
          <w:color w:val="000000"/>
          <w:spacing w:val="-1"/>
          <w:sz w:val="24"/>
          <w:szCs w:val="24"/>
        </w:rPr>
        <w:t>montaż korytek, drabinek, listew i rur instalacyjnych,</w:t>
      </w:r>
    </w:p>
    <w:p>
      <w:pPr>
        <w:pStyle w:val="Normal"/>
        <w:numPr>
          <w:ilvl w:val="0"/>
          <w:numId w:val="4"/>
        </w:numPr>
        <w:shd w:val="clear" w:color="auto" w:fill="FFFFFF"/>
        <w:ind w:start="426" w:end="423"/>
        <w:rPr>
          <w:sz w:val="24"/>
          <w:szCs w:val="24"/>
        </w:rPr>
      </w:pPr>
      <w:r>
        <w:rPr>
          <w:color w:val="000000"/>
          <w:sz w:val="24"/>
          <w:szCs w:val="24"/>
        </w:rPr>
        <w:t>oczyszczenie podłoża - przygotowanie do klejenia.</w:t>
      </w:r>
    </w:p>
    <w:p>
      <w:pPr>
        <w:pStyle w:val="Normal"/>
        <w:shd w:val="clear" w:color="auto" w:fill="FFFFFF"/>
        <w:ind w:start="426" w:end="423"/>
        <w:rPr>
          <w:sz w:val="24"/>
          <w:szCs w:val="24"/>
        </w:rPr>
      </w:pPr>
      <w:r>
        <w:rPr>
          <w:b/>
          <w:bCs/>
          <w:color w:val="000000"/>
          <w:spacing w:val="1"/>
          <w:sz w:val="24"/>
          <w:szCs w:val="24"/>
        </w:rPr>
        <w:t xml:space="preserve">Część dostępna </w:t>
      </w:r>
      <w:r>
        <w:rPr>
          <w:color w:val="000000"/>
          <w:spacing w:val="1"/>
          <w:sz w:val="24"/>
          <w:szCs w:val="24"/>
        </w:rPr>
        <w:t xml:space="preserve">- przewodząca część urządzenia elektroenergetycznego lub innego </w:t>
      </w:r>
      <w:r>
        <w:rPr>
          <w:color w:val="000000"/>
          <w:sz w:val="24"/>
          <w:szCs w:val="24"/>
        </w:rPr>
        <w:t>przedmiotu, będąca w zasięgu ręki ze stanowiska dostępnego (tj. takiego, na którym człowiek o przeciętnej sprawności fizycznej może się znaleźć bez korzystania ze środków po</w:t>
      </w:r>
      <w:r>
        <w:rPr>
          <w:color w:val="000000"/>
          <w:spacing w:val="-1"/>
          <w:sz w:val="24"/>
          <w:szCs w:val="24"/>
        </w:rPr>
        <w:t>mocniczych np. drabiny, słupołazów itp.), która podczas normalnej pracy nie jest pod napięciem, jednak może się pod nim znaleźć w momencie zakłócenia (uszkodzenia lub niezamie</w:t>
      </w:r>
      <w:r>
        <w:rPr>
          <w:color w:val="000000"/>
          <w:sz w:val="24"/>
          <w:szCs w:val="24"/>
        </w:rPr>
        <w:t>rzonej zmiany instalacji elektroenergetycznej, parametrów, charakterystyk lub układu pracy urządzenia np. zwarcia, wyniesienia potencjału, uszkodzenia izolacji itp.).</w:t>
      </w:r>
    </w:p>
    <w:p>
      <w:pPr>
        <w:pStyle w:val="Normal"/>
        <w:shd w:val="clear" w:color="auto" w:fill="FFFFFF"/>
        <w:ind w:start="426" w:end="423"/>
        <w:rPr>
          <w:sz w:val="24"/>
          <w:szCs w:val="24"/>
        </w:rPr>
      </w:pPr>
      <w:r>
        <w:rPr>
          <w:b/>
          <w:bCs/>
          <w:color w:val="000000"/>
          <w:spacing w:val="2"/>
          <w:sz w:val="24"/>
          <w:szCs w:val="24"/>
        </w:rPr>
        <w:t xml:space="preserve">Miejsce wydzielone </w:t>
      </w:r>
      <w:r>
        <w:rPr>
          <w:color w:val="000000"/>
          <w:spacing w:val="2"/>
          <w:sz w:val="24"/>
          <w:szCs w:val="24"/>
        </w:rPr>
        <w:t>- zamykana przestrzeń lub miejsce eksploatacji instalacji lub urzą</w:t>
      </w:r>
      <w:r>
        <w:rPr>
          <w:color w:val="000000"/>
          <w:spacing w:val="-1"/>
          <w:sz w:val="24"/>
          <w:szCs w:val="24"/>
        </w:rPr>
        <w:t>dzeń, do którego dostęp posiadają jedynie osoby upoważnione.</w:t>
      </w:r>
    </w:p>
    <w:p>
      <w:pPr>
        <w:pStyle w:val="Normal"/>
        <w:shd w:val="clear" w:color="auto" w:fill="FFFFFF"/>
        <w:ind w:start="426" w:end="423"/>
        <w:rPr>
          <w:sz w:val="24"/>
          <w:szCs w:val="24"/>
        </w:rPr>
      </w:pPr>
      <w:r>
        <w:rPr>
          <w:b/>
          <w:bCs/>
          <w:color w:val="000000"/>
          <w:spacing w:val="1"/>
          <w:sz w:val="24"/>
          <w:szCs w:val="24"/>
        </w:rPr>
        <w:t xml:space="preserve">Napięcie dotykowe Ud </w:t>
      </w:r>
      <w:r>
        <w:rPr>
          <w:b/>
          <w:bCs/>
          <w:i/>
          <w:iCs/>
          <w:color w:val="000000"/>
          <w:spacing w:val="1"/>
          <w:sz w:val="24"/>
          <w:szCs w:val="24"/>
        </w:rPr>
        <w:t xml:space="preserve">(źródłowe przy dotyku) </w:t>
      </w:r>
      <w:r>
        <w:rPr>
          <w:i/>
          <w:iCs/>
          <w:color w:val="000000"/>
          <w:spacing w:val="1"/>
          <w:sz w:val="24"/>
          <w:szCs w:val="24"/>
        </w:rPr>
        <w:t xml:space="preserve">- </w:t>
      </w:r>
      <w:r>
        <w:rPr>
          <w:color w:val="000000"/>
          <w:spacing w:val="1"/>
          <w:sz w:val="24"/>
          <w:szCs w:val="24"/>
        </w:rPr>
        <w:t xml:space="preserve">napięcie pojawiające się przy zwarciu </w:t>
      </w:r>
      <w:r>
        <w:rPr>
          <w:color w:val="000000"/>
          <w:spacing w:val="-1"/>
          <w:sz w:val="24"/>
          <w:szCs w:val="24"/>
        </w:rPr>
        <w:t>doziemnym pomiędzy przewodzącą częścią, która może być (nie jest) dotknięta przez człowieka a miejscem na ziemi, na którym znajdują się stopy.</w:t>
      </w:r>
    </w:p>
    <w:p>
      <w:pPr>
        <w:pStyle w:val="Normal"/>
        <w:shd w:val="clear" w:color="auto" w:fill="FFFFFF"/>
        <w:ind w:start="426" w:end="423"/>
        <w:rPr>
          <w:sz w:val="24"/>
          <w:szCs w:val="24"/>
        </w:rPr>
      </w:pPr>
      <w:r>
        <w:rPr>
          <w:b/>
          <w:bCs/>
          <w:color w:val="000000"/>
          <w:spacing w:val="7"/>
          <w:sz w:val="24"/>
          <w:szCs w:val="24"/>
        </w:rPr>
        <w:t xml:space="preserve">Osłona izolacyjna </w:t>
      </w:r>
      <w:r>
        <w:rPr>
          <w:color w:val="000000"/>
          <w:spacing w:val="7"/>
          <w:sz w:val="24"/>
          <w:szCs w:val="24"/>
        </w:rPr>
        <w:t xml:space="preserve">- osłona wykonana w celu uniemożliwienia dotknięcia elementów </w:t>
      </w:r>
      <w:r>
        <w:rPr>
          <w:color w:val="000000"/>
          <w:sz w:val="24"/>
          <w:szCs w:val="24"/>
        </w:rPr>
        <w:t xml:space="preserve">w części dostępnej, na których może się pojawić niebezpieczne napięcie np. na pancerzu </w:t>
      </w:r>
      <w:r>
        <w:rPr>
          <w:color w:val="000000"/>
          <w:spacing w:val="-2"/>
          <w:sz w:val="24"/>
          <w:szCs w:val="24"/>
        </w:rPr>
        <w:t>metalowym kabla.</w:t>
      </w:r>
    </w:p>
    <w:p>
      <w:pPr>
        <w:pStyle w:val="Normal"/>
        <w:shd w:val="clear" w:color="auto" w:fill="FFFFFF"/>
        <w:ind w:start="426" w:end="423"/>
        <w:rPr>
          <w:sz w:val="24"/>
          <w:szCs w:val="24"/>
        </w:rPr>
      </w:pPr>
      <w:r>
        <w:rPr>
          <w:b/>
          <w:bCs/>
          <w:color w:val="000000"/>
          <w:spacing w:val="-1"/>
          <w:sz w:val="24"/>
          <w:szCs w:val="24"/>
        </w:rPr>
        <w:t xml:space="preserve">Ziemia odniesienia </w:t>
      </w:r>
      <w:r>
        <w:rPr>
          <w:color w:val="000000"/>
          <w:spacing w:val="-1"/>
          <w:sz w:val="24"/>
          <w:szCs w:val="24"/>
        </w:rPr>
        <w:t>- miejsce w którym prąd uziemienia nie powoduje zauważalnej różnicy potencjałów pomiędzy dwoma dowolnymi punktami.</w:t>
      </w:r>
    </w:p>
    <w:p>
      <w:pPr>
        <w:pStyle w:val="Normal"/>
        <w:shd w:val="clear" w:color="auto" w:fill="FFFFFF"/>
        <w:ind w:start="426" w:end="423"/>
        <w:rPr>
          <w:sz w:val="24"/>
          <w:szCs w:val="24"/>
        </w:rPr>
      </w:pPr>
      <w:r>
        <w:rPr>
          <w:b/>
          <w:bCs/>
          <w:color w:val="000000"/>
          <w:sz w:val="24"/>
          <w:szCs w:val="24"/>
        </w:rPr>
        <w:t xml:space="preserve">Przewód uziemiający </w:t>
      </w:r>
      <w:r>
        <w:rPr>
          <w:color w:val="000000"/>
          <w:sz w:val="24"/>
          <w:szCs w:val="24"/>
        </w:rPr>
        <w:t xml:space="preserve">- przewodnik łączący uziemiany element z uziomem, umieszczony </w:t>
      </w:r>
      <w:r>
        <w:rPr>
          <w:color w:val="000000"/>
          <w:spacing w:val="-1"/>
          <w:sz w:val="24"/>
          <w:szCs w:val="24"/>
        </w:rPr>
        <w:t>poza ziemią lub izolowany od ziemi i wody, jeśli się w tym środowisku znajduje.</w:t>
      </w:r>
    </w:p>
    <w:p>
      <w:pPr>
        <w:pStyle w:val="Normal"/>
        <w:shd w:val="clear" w:color="auto" w:fill="FFFFFF"/>
        <w:ind w:start="426" w:end="423"/>
        <w:rPr>
          <w:sz w:val="24"/>
          <w:szCs w:val="24"/>
        </w:rPr>
      </w:pPr>
      <w:r>
        <w:rPr>
          <w:b/>
          <w:bCs/>
          <w:color w:val="000000"/>
          <w:sz w:val="24"/>
          <w:szCs w:val="24"/>
        </w:rPr>
        <w:t xml:space="preserve">Uziemienie </w:t>
      </w:r>
      <w:r>
        <w:rPr>
          <w:color w:val="000000"/>
          <w:sz w:val="24"/>
          <w:szCs w:val="24"/>
        </w:rPr>
        <w:t>- zespół środków i urządzeń służących połączeniu przewodzącej części z zie</w:t>
      </w:r>
      <w:r>
        <w:rPr>
          <w:color w:val="000000"/>
          <w:spacing w:val="-1"/>
          <w:sz w:val="24"/>
          <w:szCs w:val="24"/>
        </w:rPr>
        <w:t>mią poprzez odpowiednią instalację.</w:t>
      </w:r>
    </w:p>
    <w:p>
      <w:pPr>
        <w:pStyle w:val="Normal"/>
        <w:shd w:val="clear" w:color="auto" w:fill="FFFFFF"/>
        <w:ind w:start="426" w:end="423"/>
        <w:rPr>
          <w:sz w:val="24"/>
          <w:szCs w:val="24"/>
        </w:rPr>
      </w:pPr>
      <w:r>
        <w:rPr>
          <w:b/>
          <w:bCs/>
          <w:color w:val="000000"/>
          <w:spacing w:val="2"/>
          <w:sz w:val="24"/>
          <w:szCs w:val="24"/>
        </w:rPr>
        <w:t xml:space="preserve">Uziom </w:t>
      </w:r>
      <w:r>
        <w:rPr>
          <w:color w:val="000000"/>
          <w:spacing w:val="2"/>
          <w:sz w:val="24"/>
          <w:szCs w:val="24"/>
        </w:rPr>
        <w:t xml:space="preserve">- przewodnik umieszczony w ziemi lub betonie o odpowiednio dużej powierzchni </w:t>
      </w:r>
      <w:r>
        <w:rPr>
          <w:color w:val="000000"/>
          <w:spacing w:val="-1"/>
          <w:sz w:val="24"/>
          <w:szCs w:val="24"/>
        </w:rPr>
        <w:t>styku w celu zapewnienia dobrego połączenia elektrycznego.</w:t>
      </w:r>
    </w:p>
    <w:p>
      <w:pPr>
        <w:pStyle w:val="Normal"/>
        <w:shd w:val="clear" w:color="auto" w:fill="FFFFFF"/>
        <w:ind w:start="426" w:end="423"/>
        <w:rPr>
          <w:sz w:val="24"/>
          <w:szCs w:val="24"/>
        </w:rPr>
      </w:pPr>
      <w:r>
        <w:rPr>
          <w:color w:val="000000"/>
          <w:spacing w:val="-1"/>
          <w:sz w:val="24"/>
          <w:szCs w:val="24"/>
        </w:rPr>
        <w:t>Może występować jako:</w:t>
      </w:r>
    </w:p>
    <w:p>
      <w:pPr>
        <w:pStyle w:val="Normal"/>
        <w:numPr>
          <w:ilvl w:val="0"/>
          <w:numId w:val="10"/>
        </w:numPr>
        <w:shd w:val="clear" w:color="auto" w:fill="FFFFFF"/>
        <w:tabs>
          <w:tab w:val="clear" w:pos="708"/>
          <w:tab w:val="left" w:pos="283" w:leader="none"/>
        </w:tabs>
        <w:ind w:start="426" w:end="423"/>
        <w:rPr>
          <w:sz w:val="24"/>
          <w:szCs w:val="24"/>
        </w:rPr>
      </w:pPr>
      <w:r>
        <w:rPr>
          <w:b/>
          <w:bCs/>
          <w:i/>
          <w:iCs/>
          <w:color w:val="000000"/>
          <w:spacing w:val="-1"/>
          <w:sz w:val="24"/>
          <w:szCs w:val="24"/>
        </w:rPr>
        <w:t xml:space="preserve">naturalny </w:t>
      </w:r>
      <w:r>
        <w:rPr>
          <w:color w:val="000000"/>
          <w:spacing w:val="-1"/>
          <w:sz w:val="24"/>
          <w:szCs w:val="24"/>
        </w:rPr>
        <w:t>(wykonany w innym celu, a używany do uziemienia),</w:t>
      </w:r>
    </w:p>
    <w:p>
      <w:pPr>
        <w:pStyle w:val="Normal"/>
        <w:numPr>
          <w:ilvl w:val="0"/>
          <w:numId w:val="10"/>
        </w:numPr>
        <w:shd w:val="clear" w:color="auto" w:fill="FFFFFF"/>
        <w:tabs>
          <w:tab w:val="clear" w:pos="708"/>
          <w:tab w:val="left" w:pos="283" w:leader="none"/>
        </w:tabs>
        <w:ind w:start="426" w:end="423"/>
        <w:rPr>
          <w:sz w:val="24"/>
          <w:szCs w:val="24"/>
        </w:rPr>
      </w:pPr>
      <w:r>
        <w:rPr>
          <w:b/>
          <w:bCs/>
          <w:i/>
          <w:iCs/>
          <w:color w:val="000000"/>
          <w:spacing w:val="-1"/>
          <w:sz w:val="24"/>
          <w:szCs w:val="24"/>
        </w:rPr>
        <w:t xml:space="preserve">sztuczny </w:t>
      </w:r>
      <w:r>
        <w:rPr>
          <w:color w:val="000000"/>
          <w:spacing w:val="-1"/>
          <w:sz w:val="24"/>
          <w:szCs w:val="24"/>
        </w:rPr>
        <w:t>(wykonany w celu uziemienia),</w:t>
      </w:r>
    </w:p>
    <w:p>
      <w:pPr>
        <w:pStyle w:val="Normal"/>
        <w:shd w:val="clear" w:color="auto" w:fill="FFFFFF"/>
        <w:ind w:firstLine="266" w:start="426" w:end="423"/>
        <w:rPr>
          <w:sz w:val="24"/>
          <w:szCs w:val="24"/>
        </w:rPr>
      </w:pPr>
      <w:r>
        <w:rPr>
          <w:color w:val="000000"/>
          <w:spacing w:val="1"/>
          <w:sz w:val="24"/>
          <w:szCs w:val="24"/>
        </w:rPr>
        <w:t xml:space="preserve">Jako podstawę przyjmuje się wykorzystanie uziomów naturalnych, jednak w przypadku </w:t>
      </w:r>
      <w:r>
        <w:rPr>
          <w:color w:val="000000"/>
          <w:spacing w:val="-1"/>
          <w:sz w:val="24"/>
          <w:szCs w:val="24"/>
        </w:rPr>
        <w:t>braku możliwości lub nieopłacalności ich zastosowania, wykonuje się uziomy sztuczne.</w:t>
      </w:r>
    </w:p>
    <w:p>
      <w:pPr>
        <w:pStyle w:val="Normal"/>
        <w:shd w:val="clear" w:color="auto" w:fill="FFFFFF"/>
        <w:ind w:start="426" w:end="423"/>
        <w:rPr>
          <w:sz w:val="24"/>
          <w:szCs w:val="24"/>
        </w:rPr>
      </w:pPr>
      <w:r>
        <w:rPr>
          <w:color w:val="000000"/>
          <w:spacing w:val="-1"/>
          <w:sz w:val="24"/>
          <w:szCs w:val="24"/>
        </w:rPr>
        <w:t>Materiały stosowane na uziomy sztuczne:</w:t>
      </w:r>
    </w:p>
    <w:p>
      <w:pPr>
        <w:pStyle w:val="Normal"/>
        <w:numPr>
          <w:ilvl w:val="0"/>
          <w:numId w:val="10"/>
        </w:numPr>
        <w:shd w:val="clear" w:color="auto" w:fill="FFFFFF"/>
        <w:tabs>
          <w:tab w:val="clear" w:pos="708"/>
          <w:tab w:val="left" w:pos="283" w:leader="none"/>
        </w:tabs>
        <w:ind w:start="426" w:end="423"/>
        <w:rPr>
          <w:sz w:val="24"/>
          <w:szCs w:val="24"/>
        </w:rPr>
      </w:pPr>
      <w:r>
        <w:rPr>
          <w:color w:val="000000"/>
          <w:spacing w:val="-1"/>
          <w:sz w:val="24"/>
          <w:szCs w:val="24"/>
        </w:rPr>
        <w:t>Stal ocynkowana na gorąco oraz pokryta miedzią galwanicznie lub platerowana</w:t>
      </w:r>
    </w:p>
    <w:p>
      <w:pPr>
        <w:pStyle w:val="Normal"/>
        <w:numPr>
          <w:ilvl w:val="0"/>
          <w:numId w:val="10"/>
        </w:numPr>
        <w:shd w:val="clear" w:color="auto" w:fill="FFFFFF"/>
        <w:tabs>
          <w:tab w:val="clear" w:pos="708"/>
          <w:tab w:val="left" w:pos="283" w:leader="none"/>
        </w:tabs>
        <w:ind w:start="426" w:end="423"/>
        <w:rPr>
          <w:sz w:val="24"/>
          <w:szCs w:val="24"/>
        </w:rPr>
      </w:pPr>
      <w:r>
        <w:rPr>
          <w:color w:val="000000"/>
          <w:spacing w:val="-1"/>
          <w:sz w:val="24"/>
          <w:szCs w:val="24"/>
        </w:rPr>
        <w:t>Miedź goła a także pokryta cyną lub ocynkowana</w:t>
      </w:r>
    </w:p>
    <w:p>
      <w:pPr>
        <w:pStyle w:val="Normal"/>
        <w:shd w:val="clear" w:color="auto" w:fill="FFFFFF"/>
        <w:ind w:start="426" w:end="423"/>
        <w:rPr>
          <w:sz w:val="24"/>
          <w:szCs w:val="24"/>
        </w:rPr>
      </w:pPr>
      <w:r>
        <w:rPr>
          <w:b/>
          <w:bCs/>
          <w:color w:val="000000"/>
          <w:spacing w:val="-2"/>
          <w:sz w:val="24"/>
          <w:szCs w:val="24"/>
        </w:rPr>
        <w:t xml:space="preserve">Zwody </w:t>
      </w:r>
      <w:r>
        <w:rPr>
          <w:color w:val="000000"/>
          <w:spacing w:val="-2"/>
          <w:sz w:val="24"/>
          <w:szCs w:val="24"/>
        </w:rPr>
        <w:t>- górna część urządzenia piorunochronnego przeznaczona do przechwytywania ude</w:t>
      </w:r>
      <w:r>
        <w:rPr>
          <w:color w:val="000000"/>
          <w:spacing w:val="-4"/>
          <w:sz w:val="24"/>
          <w:szCs w:val="24"/>
        </w:rPr>
        <w:t>rzenia pioruna.</w:t>
      </w:r>
    </w:p>
    <w:p>
      <w:pPr>
        <w:pStyle w:val="BodyTextIndent"/>
        <w:spacing w:lineRule="auto" w:line="240"/>
        <w:ind w:firstLine="266" w:start="426" w:end="423"/>
        <w:rPr>
          <w:rFonts w:ascii="Arial" w:hAnsi="Arial" w:cs="Arial"/>
          <w:sz w:val="24"/>
          <w:szCs w:val="24"/>
        </w:rPr>
      </w:pPr>
      <w:r>
        <w:rPr>
          <w:rFonts w:cs="Arial" w:ascii="Arial" w:hAnsi="Arial"/>
          <w:sz w:val="24"/>
          <w:szCs w:val="24"/>
        </w:rPr>
        <w:t>Jako zwody, ze względów ekonomicznych i zgodnie z zaleceniami normy, wykorzystuje się metalowe lub żelbetowe elementy dachu (szczególnie te, które wystają ponad dach).</w:t>
      </w:r>
    </w:p>
    <w:p>
      <w:pPr>
        <w:pStyle w:val="Normal"/>
        <w:shd w:val="clear" w:color="auto" w:fill="FFFFFF"/>
        <w:ind w:start="426" w:end="423"/>
        <w:rPr>
          <w:sz w:val="24"/>
          <w:szCs w:val="24"/>
        </w:rPr>
      </w:pPr>
      <w:r>
        <w:rPr>
          <w:color w:val="000000"/>
          <w:spacing w:val="-2"/>
          <w:sz w:val="24"/>
          <w:szCs w:val="24"/>
        </w:rPr>
        <w:t>Rodzaje zwodów:</w:t>
      </w:r>
    </w:p>
    <w:p>
      <w:pPr>
        <w:pStyle w:val="Normal"/>
        <w:shd w:val="clear" w:color="auto" w:fill="FFFFFF"/>
        <w:tabs>
          <w:tab w:val="clear" w:pos="708"/>
          <w:tab w:val="left" w:pos="283" w:leader="none"/>
        </w:tabs>
        <w:ind w:hanging="284" w:start="426" w:end="423"/>
        <w:rPr>
          <w:sz w:val="24"/>
          <w:szCs w:val="24"/>
        </w:rPr>
      </w:pPr>
      <w:r>
        <w:rPr>
          <w:color w:val="000000"/>
          <w:sz w:val="24"/>
          <w:szCs w:val="24"/>
        </w:rPr>
        <w:t>-</w:t>
        <w:tab/>
      </w:r>
      <w:r>
        <w:rPr>
          <w:b/>
          <w:bCs/>
          <w:i/>
          <w:iCs/>
          <w:color w:val="000000"/>
          <w:sz w:val="24"/>
          <w:szCs w:val="24"/>
        </w:rPr>
        <w:t xml:space="preserve">Zwody naturalne </w:t>
      </w:r>
      <w:r>
        <w:rPr>
          <w:color w:val="000000"/>
          <w:sz w:val="24"/>
          <w:szCs w:val="24"/>
        </w:rPr>
        <w:t>- zewnętrzne lub wewnętrzne metalowe pokrycia i konstrukcje nośne dachów, a ich zastosowanie dotyczy wszystkich rodzajów ochrony obiektów (podstawo</w:t>
      </w:r>
      <w:r>
        <w:rPr>
          <w:color w:val="000000"/>
          <w:spacing w:val="2"/>
          <w:sz w:val="24"/>
          <w:szCs w:val="24"/>
        </w:rPr>
        <w:t xml:space="preserve">wej, obostrzonej i specjalnej). Wykorzystanie elementów dachu jako zwody naturalne </w:t>
      </w:r>
      <w:r>
        <w:rPr>
          <w:color w:val="000000"/>
          <w:sz w:val="24"/>
          <w:szCs w:val="24"/>
        </w:rPr>
        <w:t>jest możliwe jeśli spełnione są dodatkowe warunki:</w:t>
      </w:r>
    </w:p>
    <w:p>
      <w:pPr>
        <w:pStyle w:val="Normal"/>
        <w:shd w:val="clear" w:color="auto" w:fill="FFFFFF"/>
        <w:ind w:hanging="278" w:start="426" w:end="423"/>
        <w:rPr>
          <w:sz w:val="24"/>
          <w:szCs w:val="24"/>
        </w:rPr>
      </w:pPr>
      <w:r>
        <w:rPr>
          <w:i/>
          <w:iCs/>
          <w:color w:val="000000"/>
          <w:spacing w:val="2"/>
          <w:sz w:val="24"/>
          <w:szCs w:val="24"/>
        </w:rPr>
        <w:t>1</w:t>
      </w:r>
      <w:r>
        <w:rPr>
          <w:color w:val="000000"/>
          <w:spacing w:val="2"/>
          <w:sz w:val="24"/>
          <w:szCs w:val="24"/>
        </w:rPr>
        <w:t xml:space="preserve">. </w:t>
      </w:r>
      <w:r>
        <w:rPr>
          <w:i/>
          <w:iCs/>
          <w:color w:val="000000"/>
          <w:spacing w:val="2"/>
          <w:sz w:val="24"/>
          <w:szCs w:val="24"/>
        </w:rPr>
        <w:t xml:space="preserve">grubość blachy elementu musi być większa od 0,5 mm dla stali, cynku i miedzi oraz </w:t>
      </w:r>
      <w:r>
        <w:rPr>
          <w:i/>
          <w:iCs/>
          <w:color w:val="000000"/>
          <w:spacing w:val="-2"/>
          <w:sz w:val="24"/>
          <w:szCs w:val="24"/>
        </w:rPr>
        <w:t>1 mm dla aluminium</w:t>
      </w:r>
    </w:p>
    <w:p>
      <w:pPr>
        <w:pStyle w:val="Normal"/>
        <w:shd w:val="clear" w:color="auto" w:fill="FFFFFF"/>
        <w:ind w:firstLine="65" w:start="426" w:end="423"/>
        <w:rPr>
          <w:sz w:val="24"/>
          <w:szCs w:val="24"/>
        </w:rPr>
      </w:pPr>
      <w:r>
        <w:rPr>
          <w:i/>
          <w:iCs/>
          <w:color w:val="000000"/>
          <w:spacing w:val="-1"/>
          <w:sz w:val="24"/>
          <w:szCs w:val="24"/>
        </w:rPr>
        <w:t>2</w:t>
      </w:r>
      <w:r>
        <w:rPr>
          <w:color w:val="000000"/>
          <w:spacing w:val="-1"/>
          <w:sz w:val="24"/>
          <w:szCs w:val="24"/>
        </w:rPr>
        <w:t xml:space="preserve">. </w:t>
      </w:r>
      <w:r>
        <w:rPr>
          <w:i/>
          <w:iCs/>
          <w:color w:val="000000"/>
          <w:spacing w:val="-1"/>
          <w:sz w:val="24"/>
          <w:szCs w:val="24"/>
        </w:rPr>
        <w:t>krople metalu wytopione przez piorun nie mogą przedostać się do wnętrza budynku,</w:t>
      </w:r>
    </w:p>
    <w:p>
      <w:pPr>
        <w:pStyle w:val="Normal"/>
        <w:numPr>
          <w:ilvl w:val="0"/>
          <w:numId w:val="10"/>
        </w:numPr>
        <w:shd w:val="clear" w:color="auto" w:fill="FFFFFF"/>
        <w:tabs>
          <w:tab w:val="clear" w:pos="708"/>
          <w:tab w:val="left" w:pos="283" w:leader="none"/>
        </w:tabs>
        <w:ind w:hanging="284" w:start="426" w:end="423"/>
        <w:rPr>
          <w:sz w:val="24"/>
          <w:szCs w:val="24"/>
        </w:rPr>
      </w:pPr>
      <w:r>
        <w:rPr>
          <w:b/>
          <w:bCs/>
          <w:i/>
          <w:iCs/>
          <w:color w:val="000000"/>
          <w:spacing w:val="1"/>
          <w:sz w:val="24"/>
          <w:szCs w:val="24"/>
        </w:rPr>
        <w:t xml:space="preserve">Zwody sztuczne </w:t>
      </w:r>
      <w:r>
        <w:rPr>
          <w:color w:val="000000"/>
          <w:spacing w:val="1"/>
          <w:sz w:val="24"/>
          <w:szCs w:val="24"/>
        </w:rPr>
        <w:t>- wykonywane w przypadku braku możliwości zastosowania elemen</w:t>
      </w:r>
      <w:r>
        <w:rPr>
          <w:color w:val="000000"/>
          <w:spacing w:val="3"/>
          <w:sz w:val="24"/>
          <w:szCs w:val="24"/>
        </w:rPr>
        <w:t xml:space="preserve">tów dachu jako zwody naturalne, ze względu na konstrukcję dachu lub konieczności </w:t>
      </w:r>
      <w:r>
        <w:rPr>
          <w:color w:val="000000"/>
          <w:sz w:val="24"/>
          <w:szCs w:val="24"/>
        </w:rPr>
        <w:t>spełnienia warunków dodatkowych. Zwody montowane bezpośrednio na obiekcie określa się jako nieizolowane, natomiast montowane obok lub nad obiektem nazywa się izo</w:t>
      </w:r>
      <w:r>
        <w:rPr>
          <w:color w:val="000000"/>
          <w:spacing w:val="4"/>
          <w:sz w:val="24"/>
          <w:szCs w:val="24"/>
        </w:rPr>
        <w:t xml:space="preserve">lowanym. Rozróżnia się zwody poziome (niskie, podwyższone i wysokie) i pionowe. </w:t>
      </w:r>
      <w:r>
        <w:rPr>
          <w:color w:val="000000"/>
          <w:sz w:val="24"/>
          <w:szCs w:val="24"/>
        </w:rPr>
        <w:t xml:space="preserve">Ochronę odgromową z zastosowaniem zwodów poziomych niskich lub podwyższonych </w:t>
      </w:r>
      <w:r>
        <w:rPr>
          <w:color w:val="000000"/>
          <w:spacing w:val="1"/>
          <w:sz w:val="24"/>
          <w:szCs w:val="24"/>
        </w:rPr>
        <w:t>nazwano ochroną klatkową, natomiast z zastosowaniem zwodów pionowych lub pozio</w:t>
      </w:r>
      <w:r>
        <w:rPr>
          <w:color w:val="000000"/>
          <w:spacing w:val="-1"/>
          <w:sz w:val="24"/>
          <w:szCs w:val="24"/>
        </w:rPr>
        <w:t xml:space="preserve">mych wysokich nazwano ochroną strefową. Ochrona strefowa wymaga takiego dobrania </w:t>
      </w:r>
      <w:r>
        <w:rPr>
          <w:color w:val="000000"/>
          <w:spacing w:val="2"/>
          <w:sz w:val="24"/>
          <w:szCs w:val="24"/>
        </w:rPr>
        <w:t xml:space="preserve">wysokości montażu zwodów, aby cały chroniony obiekt znalazł się w strefie ochronnej </w:t>
      </w:r>
      <w:r>
        <w:rPr>
          <w:color w:val="000000"/>
          <w:spacing w:val="-1"/>
          <w:sz w:val="24"/>
          <w:szCs w:val="24"/>
        </w:rPr>
        <w:t>(wyznaczonej przez zwód i jego kąt ochronny).</w:t>
      </w:r>
    </w:p>
    <w:p>
      <w:pPr>
        <w:pStyle w:val="Normal"/>
        <w:shd w:val="clear" w:color="auto" w:fill="FFFFFF"/>
        <w:ind w:start="426" w:end="423"/>
        <w:rPr>
          <w:sz w:val="24"/>
          <w:szCs w:val="24"/>
        </w:rPr>
      </w:pPr>
      <w:r>
        <w:rPr>
          <w:b/>
          <w:bCs/>
          <w:color w:val="000000"/>
          <w:sz w:val="24"/>
          <w:szCs w:val="24"/>
        </w:rPr>
        <w:t xml:space="preserve">Ochrona wewnętrzna </w:t>
      </w:r>
      <w:r>
        <w:rPr>
          <w:color w:val="000000"/>
          <w:sz w:val="24"/>
          <w:szCs w:val="24"/>
        </w:rPr>
        <w:t xml:space="preserve">- zespół działań i urządzeń zapewniający bezpieczeństwo i ochronę </w:t>
      </w:r>
      <w:r>
        <w:rPr>
          <w:color w:val="000000"/>
          <w:spacing w:val="-1"/>
          <w:sz w:val="24"/>
          <w:szCs w:val="24"/>
        </w:rPr>
        <w:t xml:space="preserve">przed skutkami wyładowań piorunowych, ludziom znajdującym się w budynku. Realizowana </w:t>
      </w:r>
      <w:r>
        <w:rPr>
          <w:color w:val="000000"/>
          <w:sz w:val="24"/>
          <w:szCs w:val="24"/>
        </w:rPr>
        <w:t xml:space="preserve">jest poprzez: wykonanie ekwipotencjalizacji wszystkich urządzeń i elementów metalowych, zachowanie odpowiednich odstępów izolacyjnych lub stosowanie dodatkowych środków </w:t>
      </w:r>
      <w:r>
        <w:rPr>
          <w:color w:val="000000"/>
          <w:spacing w:val="-3"/>
          <w:sz w:val="24"/>
          <w:szCs w:val="24"/>
        </w:rPr>
        <w:t>ochrony</w:t>
      </w:r>
    </w:p>
    <w:p>
      <w:pPr>
        <w:pStyle w:val="Heading1"/>
        <w:numPr>
          <w:ilvl w:val="0"/>
          <w:numId w:val="13"/>
        </w:numPr>
        <w:ind w:hanging="360" w:start="426" w:end="423"/>
        <w:rPr>
          <w:rFonts w:ascii="Arial" w:hAnsi="Arial" w:cs="Arial"/>
          <w:sz w:val="24"/>
          <w:szCs w:val="24"/>
        </w:rPr>
      </w:pPr>
      <w:bookmarkStart w:id="15" w:name="_Toc215176911"/>
      <w:bookmarkStart w:id="16" w:name="_Toc535218188"/>
      <w:bookmarkEnd w:id="16"/>
      <w:r>
        <w:rPr>
          <w:rFonts w:cs="Arial" w:ascii="Arial" w:hAnsi="Arial"/>
          <w:sz w:val="24"/>
          <w:szCs w:val="24"/>
        </w:rPr>
        <w:t>Ogólne wymagania dotyczące robót</w:t>
      </w:r>
      <w:bookmarkEnd w:id="15"/>
    </w:p>
    <w:p>
      <w:pPr>
        <w:pStyle w:val="Normal"/>
        <w:shd w:val="clear" w:color="auto" w:fill="FFFFFF"/>
        <w:ind w:firstLine="282" w:start="426" w:end="423"/>
        <w:rPr>
          <w:sz w:val="24"/>
          <w:szCs w:val="24"/>
        </w:rPr>
      </w:pPr>
      <w:r>
        <w:rPr>
          <w:color w:val="000000"/>
          <w:spacing w:val="-3"/>
          <w:sz w:val="24"/>
          <w:szCs w:val="24"/>
        </w:rPr>
        <w:t>Wykonawca robót jest odpowiedzialny za jakość ich wykonania oraz za zgodność z dokumen</w:t>
      </w:r>
      <w:r>
        <w:rPr>
          <w:color w:val="000000"/>
          <w:spacing w:val="-2"/>
          <w:sz w:val="24"/>
          <w:szCs w:val="24"/>
        </w:rPr>
        <w:t xml:space="preserve">tacją projektową, specyfikacjami technicznymi i poleceniami Inspektora nadzoru. </w:t>
      </w:r>
    </w:p>
    <w:p>
      <w:pPr>
        <w:pStyle w:val="ListParagraph"/>
        <w:keepNext w:val="true"/>
        <w:keepLines/>
        <w:numPr>
          <w:ilvl w:val="0"/>
          <w:numId w:val="14"/>
        </w:numPr>
        <w:spacing w:before="40" w:after="0"/>
        <w:ind w:hanging="360" w:start="426" w:end="423"/>
        <w:contextualSpacing/>
        <w:outlineLvl w:val="1"/>
        <w:rPr>
          <w:rFonts w:eastAsia="" w:eastAsiaTheme="majorEastAsia"/>
          <w:vanish/>
          <w:color w:themeColor="accent1" w:themeShade="bf" w:val="365F91"/>
          <w:sz w:val="24"/>
          <w:szCs w:val="24"/>
        </w:rPr>
      </w:pPr>
      <w:r>
        <w:rPr>
          <w:rFonts w:eastAsia="" w:eastAsiaTheme="majorEastAsia"/>
          <w:vanish/>
          <w:color w:themeColor="accent1" w:themeShade="bf" w:val="365F91"/>
          <w:sz w:val="24"/>
          <w:szCs w:val="24"/>
        </w:rPr>
      </w:r>
      <w:bookmarkStart w:id="17" w:name="_Toc215176912"/>
      <w:bookmarkStart w:id="18" w:name="_Toc115621666"/>
      <w:bookmarkStart w:id="19" w:name="_Toc51793573"/>
      <w:bookmarkStart w:id="20" w:name="_Toc500062406"/>
      <w:bookmarkStart w:id="21" w:name="_Toc500062297"/>
      <w:bookmarkStart w:id="22" w:name="_Toc500006551"/>
      <w:bookmarkStart w:id="23" w:name="_Toc521263349"/>
      <w:bookmarkStart w:id="24" w:name="_Toc521263589"/>
      <w:bookmarkStart w:id="25" w:name="_Toc521263796"/>
      <w:bookmarkStart w:id="26" w:name="_Toc521263901"/>
      <w:bookmarkStart w:id="27" w:name="_Toc535218189"/>
      <w:bookmarkStart w:id="28" w:name="_Toc215176912"/>
      <w:bookmarkStart w:id="29" w:name="_Toc115621666"/>
      <w:bookmarkStart w:id="30" w:name="_Toc51793573"/>
      <w:bookmarkStart w:id="31" w:name="_Toc500062406"/>
      <w:bookmarkStart w:id="32" w:name="_Toc500062297"/>
      <w:bookmarkStart w:id="33" w:name="_Toc500006551"/>
      <w:bookmarkStart w:id="34" w:name="_Toc521263349"/>
      <w:bookmarkStart w:id="35" w:name="_Toc521263589"/>
      <w:bookmarkStart w:id="36" w:name="_Toc521263796"/>
      <w:bookmarkStart w:id="37" w:name="_Toc521263901"/>
      <w:bookmarkStart w:id="38" w:name="_Toc535218189"/>
      <w:bookmarkEnd w:id="28"/>
      <w:bookmarkEnd w:id="29"/>
      <w:bookmarkEnd w:id="30"/>
      <w:bookmarkEnd w:id="31"/>
      <w:bookmarkEnd w:id="32"/>
      <w:bookmarkEnd w:id="33"/>
      <w:bookmarkEnd w:id="34"/>
      <w:bookmarkEnd w:id="35"/>
      <w:bookmarkEnd w:id="36"/>
      <w:bookmarkEnd w:id="37"/>
      <w:bookmarkEnd w:id="38"/>
    </w:p>
    <w:p>
      <w:pPr>
        <w:pStyle w:val="Heading2"/>
        <w:numPr>
          <w:ilvl w:val="1"/>
          <w:numId w:val="14"/>
        </w:numPr>
        <w:ind w:hanging="432" w:start="426" w:end="423"/>
        <w:rPr>
          <w:rFonts w:ascii="Arial" w:hAnsi="Arial" w:cs="Arial"/>
          <w:sz w:val="24"/>
          <w:szCs w:val="24"/>
        </w:rPr>
      </w:pPr>
      <w:bookmarkStart w:id="39" w:name="_Toc215176913"/>
      <w:bookmarkStart w:id="40" w:name="_Toc535218190"/>
      <w:bookmarkEnd w:id="40"/>
      <w:r>
        <w:rPr>
          <w:rFonts w:cs="Arial" w:ascii="Arial" w:hAnsi="Arial"/>
          <w:sz w:val="24"/>
          <w:szCs w:val="24"/>
        </w:rPr>
        <w:t>Dokumentacja robót montażowych</w:t>
      </w:r>
      <w:bookmarkEnd w:id="39"/>
    </w:p>
    <w:p>
      <w:pPr>
        <w:pStyle w:val="Normal"/>
        <w:shd w:val="clear" w:color="auto" w:fill="FFFFFF"/>
        <w:ind w:firstLine="282" w:start="426" w:end="423"/>
        <w:rPr>
          <w:sz w:val="24"/>
          <w:szCs w:val="24"/>
        </w:rPr>
      </w:pPr>
      <w:r>
        <w:rPr>
          <w:color w:val="000000"/>
          <w:sz w:val="24"/>
          <w:szCs w:val="24"/>
        </w:rPr>
        <w:t>Dokumentację robót montażowych elementów instalacji elektrycznej stanowią:</w:t>
      </w:r>
    </w:p>
    <w:p>
      <w:pPr>
        <w:pStyle w:val="Normal"/>
        <w:numPr>
          <w:ilvl w:val="0"/>
          <w:numId w:val="4"/>
        </w:numPr>
        <w:shd w:val="clear" w:color="auto" w:fill="FFFFFF"/>
        <w:ind w:hanging="288" w:start="426" w:end="423"/>
        <w:rPr>
          <w:sz w:val="24"/>
          <w:szCs w:val="24"/>
        </w:rPr>
      </w:pPr>
      <w:r>
        <w:rPr>
          <w:color w:val="000000"/>
          <w:spacing w:val="-2"/>
          <w:sz w:val="24"/>
          <w:szCs w:val="24"/>
        </w:rPr>
        <w:t>projekt budowlany i wykonawczy w zakresie wynikającym z rozporządzenia Ministra Infra</w:t>
      </w:r>
      <w:r>
        <w:rPr>
          <w:color w:val="000000"/>
          <w:spacing w:val="-1"/>
          <w:sz w:val="24"/>
          <w:szCs w:val="24"/>
        </w:rPr>
        <w:t>struktury z 02.09.2004 r. w sprawie szczegółowego zakresu i formy dokumentacji projek</w:t>
      </w:r>
      <w:r>
        <w:rPr>
          <w:color w:val="000000"/>
          <w:sz w:val="24"/>
          <w:szCs w:val="24"/>
        </w:rPr>
        <w:t xml:space="preserve">towej, specyfikacji technicznych wykonania i odbioru robót budowlanych oraz programu </w:t>
      </w:r>
      <w:r>
        <w:rPr>
          <w:color w:val="000000"/>
          <w:spacing w:val="-3"/>
          <w:sz w:val="24"/>
          <w:szCs w:val="24"/>
        </w:rPr>
        <w:t xml:space="preserve">funkcjonalno-użytkowego (Dz. U. z 2004 r. Nr 202, poz. 2072 zmian Dz. U. z 2005 r. Nr 75, </w:t>
      </w:r>
      <w:r>
        <w:rPr>
          <w:color w:val="000000"/>
          <w:spacing w:val="-4"/>
          <w:sz w:val="24"/>
          <w:szCs w:val="24"/>
        </w:rPr>
        <w:t>poz. 664),</w:t>
      </w:r>
    </w:p>
    <w:p>
      <w:pPr>
        <w:pStyle w:val="Normal"/>
        <w:numPr>
          <w:ilvl w:val="0"/>
          <w:numId w:val="4"/>
        </w:numPr>
        <w:shd w:val="clear" w:color="auto" w:fill="FFFFFF"/>
        <w:ind w:hanging="288" w:start="426" w:end="423"/>
        <w:rPr>
          <w:sz w:val="24"/>
          <w:szCs w:val="24"/>
        </w:rPr>
      </w:pPr>
      <w:r>
        <w:rPr>
          <w:color w:val="000000"/>
          <w:spacing w:val="-1"/>
          <w:sz w:val="24"/>
          <w:szCs w:val="24"/>
        </w:rPr>
        <w:t xml:space="preserve">specyfikacje techniczne wykonania i odbioru robót (obligatoryjne w przypadku zamówień </w:t>
      </w:r>
      <w:r>
        <w:rPr>
          <w:color w:val="000000"/>
          <w:spacing w:val="3"/>
          <w:sz w:val="24"/>
          <w:szCs w:val="24"/>
        </w:rPr>
        <w:t xml:space="preserve">publicznych), sporządzone zgodnie z rozporządzeniem Ministra Infrastruktury z dnia </w:t>
      </w:r>
      <w:r>
        <w:rPr>
          <w:color w:val="000000"/>
          <w:sz w:val="24"/>
          <w:szCs w:val="24"/>
        </w:rPr>
        <w:t>02.09.2004 r. w sprawie szczegółowego zakresu i formy dokumentacji projektowej, spe</w:t>
      </w:r>
      <w:r>
        <w:rPr>
          <w:color w:val="000000"/>
          <w:spacing w:val="2"/>
          <w:sz w:val="24"/>
          <w:szCs w:val="24"/>
        </w:rPr>
        <w:t>cyfikacji technicznych wykonania i odbioru robót budowlanych oraz programu funkcjo</w:t>
      </w:r>
      <w:r>
        <w:rPr>
          <w:color w:val="000000"/>
          <w:spacing w:val="4"/>
          <w:sz w:val="24"/>
          <w:szCs w:val="24"/>
        </w:rPr>
        <w:t xml:space="preserve">nalno-użytkowego (Dz. U. z 2004 r. Nr 202, poz. 2072 zmian Dz. U. z 2005 r. Nr 75, </w:t>
      </w:r>
      <w:r>
        <w:rPr>
          <w:color w:val="000000"/>
          <w:spacing w:val="-2"/>
          <w:sz w:val="24"/>
          <w:szCs w:val="24"/>
        </w:rPr>
        <w:t>poz. 664),</w:t>
      </w:r>
    </w:p>
    <w:p>
      <w:pPr>
        <w:pStyle w:val="Normal"/>
        <w:numPr>
          <w:ilvl w:val="0"/>
          <w:numId w:val="4"/>
        </w:numPr>
        <w:shd w:val="clear" w:color="auto" w:fill="FFFFFF"/>
        <w:ind w:hanging="288" w:start="426" w:end="423"/>
        <w:rPr>
          <w:sz w:val="24"/>
          <w:szCs w:val="24"/>
        </w:rPr>
      </w:pPr>
      <w:r>
        <w:rPr>
          <w:color w:val="000000"/>
          <w:spacing w:val="1"/>
          <w:sz w:val="24"/>
          <w:szCs w:val="24"/>
        </w:rPr>
        <w:t xml:space="preserve">dziennik budowy prowadzony zgodnie z rozporządzeniem Ministra Infrastruktury z dnia </w:t>
      </w:r>
      <w:r>
        <w:rPr>
          <w:color w:val="000000"/>
          <w:sz w:val="24"/>
          <w:szCs w:val="24"/>
        </w:rPr>
        <w:t>26 czerwca 2002 r. w sprawie dziennika budowy, montażu i rozbiórki, tablicy informacyj</w:t>
      </w:r>
      <w:r>
        <w:rPr>
          <w:color w:val="000000"/>
          <w:spacing w:val="4"/>
          <w:sz w:val="24"/>
          <w:szCs w:val="24"/>
        </w:rPr>
        <w:t xml:space="preserve">nej oraz ogłoszenia zawierającego dane dotyczące bezpieczeństwa pracy i ochrony </w:t>
      </w:r>
      <w:r>
        <w:rPr>
          <w:color w:val="000000"/>
          <w:sz w:val="24"/>
          <w:szCs w:val="24"/>
        </w:rPr>
        <w:t>zdrowia (Dz. U. z 2002 r. Nr 108, poz. 953 z późniejszymi zmianami),</w:t>
      </w:r>
    </w:p>
    <w:p>
      <w:pPr>
        <w:pStyle w:val="Normal"/>
        <w:numPr>
          <w:ilvl w:val="0"/>
          <w:numId w:val="4"/>
        </w:numPr>
        <w:shd w:val="clear" w:color="auto" w:fill="FFFFFF"/>
        <w:ind w:hanging="288" w:start="426" w:end="423"/>
        <w:rPr>
          <w:sz w:val="24"/>
          <w:szCs w:val="24"/>
        </w:rPr>
      </w:pPr>
      <w:r>
        <w:rPr>
          <w:color w:val="000000"/>
          <w:spacing w:val="2"/>
          <w:sz w:val="24"/>
          <w:szCs w:val="24"/>
        </w:rPr>
        <w:t xml:space="preserve">dokumenty świadczące o dopuszczeniu do obrotu i powszechnego lub jednostkowego </w:t>
      </w:r>
      <w:r>
        <w:rPr>
          <w:color w:val="000000"/>
          <w:spacing w:val="3"/>
          <w:sz w:val="24"/>
          <w:szCs w:val="24"/>
        </w:rPr>
        <w:t xml:space="preserve">zastosowania użytych wyrobów budowlanych, zgodnie z ustawą z 16 kwietnia 2004 r. </w:t>
      </w:r>
      <w:r>
        <w:rPr>
          <w:color w:val="000000"/>
          <w:spacing w:val="1"/>
          <w:sz w:val="24"/>
          <w:szCs w:val="24"/>
        </w:rPr>
        <w:t xml:space="preserve">o wyrobach budowlanych (Dz. U. z 2004 r. Nr 92, poz. 881), karty techniczne wyrobów </w:t>
      </w:r>
      <w:r>
        <w:rPr>
          <w:color w:val="000000"/>
          <w:spacing w:val="-1"/>
          <w:sz w:val="24"/>
          <w:szCs w:val="24"/>
        </w:rPr>
        <w:t>lub zalecenia producentów dotyczące stosowania wyrobów,</w:t>
      </w:r>
    </w:p>
    <w:p>
      <w:pPr>
        <w:pStyle w:val="Normal"/>
        <w:numPr>
          <w:ilvl w:val="0"/>
          <w:numId w:val="4"/>
        </w:numPr>
        <w:shd w:val="clear" w:color="auto" w:fill="FFFFFF"/>
        <w:ind w:hanging="288" w:start="426" w:end="423"/>
        <w:rPr>
          <w:sz w:val="24"/>
          <w:szCs w:val="24"/>
        </w:rPr>
      </w:pPr>
      <w:r>
        <w:rPr>
          <w:color w:val="000000"/>
          <w:spacing w:val="1"/>
          <w:sz w:val="24"/>
          <w:szCs w:val="24"/>
        </w:rPr>
        <w:t>protokoły odbiorów częściowych, końcowych oraz robót zanikających i ulegających za</w:t>
      </w:r>
      <w:r>
        <w:rPr>
          <w:color w:val="000000"/>
          <w:spacing w:val="-1"/>
          <w:sz w:val="24"/>
          <w:szCs w:val="24"/>
        </w:rPr>
        <w:t>kryciu z załączonymi protokołami z badań kontrolnych,</w:t>
      </w:r>
    </w:p>
    <w:p>
      <w:pPr>
        <w:pStyle w:val="Normal"/>
        <w:numPr>
          <w:ilvl w:val="0"/>
          <w:numId w:val="4"/>
        </w:numPr>
        <w:shd w:val="clear" w:color="auto" w:fill="FFFFFF"/>
        <w:ind w:hanging="288" w:start="426" w:end="423"/>
        <w:rPr>
          <w:sz w:val="24"/>
          <w:szCs w:val="24"/>
        </w:rPr>
      </w:pPr>
      <w:r>
        <w:rPr>
          <w:color w:val="000000"/>
          <w:spacing w:val="1"/>
          <w:sz w:val="24"/>
          <w:szCs w:val="24"/>
        </w:rPr>
        <w:t xml:space="preserve">dokumentacja powykonawcza (zgodnie z art. 3, pkt 14 ustawy Prawo budowlane z dnia </w:t>
      </w:r>
      <w:r>
        <w:rPr>
          <w:color w:val="000000"/>
          <w:sz w:val="24"/>
          <w:szCs w:val="24"/>
        </w:rPr>
        <w:t>7 lipca 1994 r. - Dz. U. z 2003 r. Nr 207, poz. 2016 z późniejszymi zmianami).</w:t>
      </w:r>
    </w:p>
    <w:p>
      <w:pPr>
        <w:pStyle w:val="Normal"/>
        <w:shd w:val="clear" w:color="auto" w:fill="FFFFFF"/>
        <w:ind w:start="426" w:end="423"/>
        <w:rPr>
          <w:sz w:val="24"/>
          <w:szCs w:val="24"/>
        </w:rPr>
      </w:pPr>
      <w:r>
        <w:rPr>
          <w:color w:val="000000"/>
          <w:spacing w:val="-1"/>
          <w:sz w:val="24"/>
          <w:szCs w:val="24"/>
        </w:rPr>
        <w:t xml:space="preserve">Montaż elementów instalacji elektrycznej należy wykonywać na podstawie dokumentacji projektowej i szczegółowej specyfikacji technicznej wykonania i odbioru robót montażowych, </w:t>
      </w:r>
      <w:r>
        <w:rPr>
          <w:color w:val="000000"/>
          <w:sz w:val="24"/>
          <w:szCs w:val="24"/>
        </w:rPr>
        <w:t>opracowanych dla konkretnego przedmiotu zamówienia.</w:t>
      </w:r>
    </w:p>
    <w:p>
      <w:pPr>
        <w:pStyle w:val="SpecyfikacjaSSTpodstawowy"/>
        <w:ind w:start="426" w:end="423"/>
        <w:jc w:val="start"/>
        <w:rPr>
          <w:rFonts w:ascii="Arial" w:hAnsi="Arial" w:cs="Arial"/>
        </w:rPr>
      </w:pPr>
      <w:r>
        <w:rPr>
          <w:rFonts w:cs="Arial" w:ascii="Arial" w:hAnsi="Arial"/>
        </w:rPr>
        <w:t>Przekazana dokumentacja projektowa ma zawierać:</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opis,</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 xml:space="preserve">część graficzną </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wszystkie dokumenty, zgodne z wykazem podanym w szczegółowych warunkach umowy.</w:t>
      </w:r>
    </w:p>
    <w:p>
      <w:pPr>
        <w:pStyle w:val="SpecyfikacjaSSTpodstawowy"/>
        <w:ind w:start="426" w:end="423"/>
        <w:jc w:val="start"/>
        <w:rPr>
          <w:rFonts w:ascii="Arial" w:hAnsi="Arial" w:cs="Arial"/>
        </w:rPr>
      </w:pPr>
      <w:r>
        <w:rPr>
          <w:rFonts w:cs="Arial" w:ascii="Arial" w:hAnsi="Arial"/>
        </w:rPr>
        <w:t>Wykonawca sporządza dokumentację powykonawczą oraz dokumentacją wykonawczą technologiczną dla poszczególnych elementów wyposażenia podlegającego odbiorze np. windy, pomiary, odbiory, próby szczelności.</w:t>
      </w:r>
    </w:p>
    <w:p>
      <w:pPr>
        <w:pStyle w:val="Heading2"/>
        <w:numPr>
          <w:ilvl w:val="1"/>
          <w:numId w:val="14"/>
        </w:numPr>
        <w:ind w:hanging="432" w:start="426" w:end="423"/>
        <w:rPr>
          <w:rFonts w:ascii="Arial" w:hAnsi="Arial" w:cs="Arial"/>
          <w:sz w:val="24"/>
          <w:szCs w:val="24"/>
        </w:rPr>
      </w:pPr>
      <w:bookmarkStart w:id="41" w:name="_Toc215176914"/>
      <w:bookmarkStart w:id="42" w:name="_Toc535218191"/>
      <w:bookmarkStart w:id="43" w:name="_Toc178478192"/>
      <w:bookmarkStart w:id="44" w:name="_Toc432063601"/>
      <w:bookmarkEnd w:id="42"/>
      <w:bookmarkEnd w:id="43"/>
      <w:bookmarkEnd w:id="44"/>
      <w:r>
        <w:rPr>
          <w:rFonts w:cs="Arial" w:ascii="Arial" w:hAnsi="Arial"/>
          <w:sz w:val="24"/>
          <w:szCs w:val="24"/>
        </w:rPr>
        <w:t>Teren budowy</w:t>
      </w:r>
      <w:bookmarkEnd w:id="41"/>
    </w:p>
    <w:p>
      <w:pPr>
        <w:pStyle w:val="SpecyfikacjaSSTpodkrelenie"/>
        <w:ind w:start="426" w:end="423"/>
        <w:rPr>
          <w:rFonts w:ascii="Arial" w:hAnsi="Arial" w:cs="Arial"/>
          <w:sz w:val="24"/>
          <w:szCs w:val="24"/>
        </w:rPr>
      </w:pPr>
      <w:r>
        <w:rPr>
          <w:rFonts w:cs="Arial" w:ascii="Arial" w:hAnsi="Arial"/>
          <w:sz w:val="24"/>
          <w:szCs w:val="24"/>
        </w:rPr>
        <w:t>Przekazanie terenu budowy</w:t>
      </w:r>
    </w:p>
    <w:p>
      <w:pPr>
        <w:pStyle w:val="SpecyfikacjaSSTpodstawowy"/>
        <w:ind w:firstLine="282" w:start="426" w:end="423"/>
        <w:jc w:val="start"/>
        <w:rPr>
          <w:rFonts w:ascii="Arial" w:hAnsi="Arial" w:cs="Arial"/>
        </w:rPr>
      </w:pPr>
      <w:r>
        <w:rPr>
          <w:rFonts w:cs="Arial" w:ascii="Arial" w:hAnsi="Arial"/>
        </w:rPr>
        <w:t>Wykonawca dostarczy Inwestorowi, w ciągu 14 dni, przed ustalonym w umowie terminem przekazania terenu budowy następujące dokumenty: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oświadczenia osób funkcyjnych o przyjęciu obowiązków na budowie (kierownik, budowy, kierownicy robót),</w:t>
      </w:r>
    </w:p>
    <w:p>
      <w:pPr>
        <w:pStyle w:val="SpecyfikacjaSSTpodstawowy"/>
        <w:ind w:start="426" w:end="423"/>
        <w:jc w:val="start"/>
        <w:rPr>
          <w:rFonts w:ascii="Arial" w:hAnsi="Arial" w:cs="Arial"/>
        </w:rPr>
      </w:pPr>
      <w:r>
        <w:rPr>
          <w:rFonts w:cs="Arial" w:ascii="Arial" w:hAnsi="Arial"/>
        </w:rPr>
        <w:t>Inwestor przekaże teren budowy wykonawcy w terminie ustalonym umową.</w:t>
      </w:r>
    </w:p>
    <w:p>
      <w:pPr>
        <w:pStyle w:val="SpecyfikacjaSSTpodstawowy"/>
        <w:ind w:start="426" w:end="423"/>
        <w:jc w:val="start"/>
        <w:rPr>
          <w:rFonts w:ascii="Arial" w:hAnsi="Arial" w:cs="Arial"/>
        </w:rPr>
      </w:pPr>
      <w:r>
        <w:rPr>
          <w:rFonts w:cs="Arial" w:ascii="Arial" w:hAnsi="Arial"/>
        </w:rPr>
        <w:t>W dniu przekazania placu budowy Inwestor przekaże Wykonawcy dzienniki budowy wraz ze wszystkimi uzgodnieniami prawnymi i administracyjnymi. Wskaże punkt poboru wody i energii elektrycznej, punkty osnowy geodezyjnej. Wykonawca wykona z materiałów własnych i usunie nieodpłatnie opomiarowanie punktów poboru mediów w sposób uzgodniony z dostawcą (użytkownikiem obiektu).</w:t>
      </w:r>
    </w:p>
    <w:p>
      <w:pPr>
        <w:pStyle w:val="NormalWeb"/>
        <w:spacing w:before="120" w:after="60"/>
        <w:ind w:firstLine="705" w:start="426" w:end="423"/>
        <w:rPr>
          <w:rFonts w:ascii="Arial" w:hAnsi="Arial" w:cs="Arial"/>
          <w:sz w:val="24"/>
          <w:szCs w:val="24"/>
        </w:rPr>
      </w:pPr>
      <w:r>
        <w:rPr>
          <w:rFonts w:eastAsia="Calibri" w:cs="Arial" w:ascii="Arial" w:hAnsi="Arial" w:eastAsiaTheme="minorHAnsi"/>
          <w:bCs/>
          <w:color w:val="000000"/>
          <w:sz w:val="24"/>
          <w:szCs w:val="24"/>
          <w:lang w:eastAsia="en-US"/>
        </w:rPr>
        <w:t>Wykonawca będzie zobowiązany do przyjęcia odpowiedzialności od następstw i za wyniki działalności w zakresie:</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 xml:space="preserve">organizacji robót budowlanych, </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 xml:space="preserve">zabezpieczenia interesów osób trzecich, </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 xml:space="preserve">ochrony środowiska, </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 xml:space="preserve">warunków bezpieczeństwa pracy, </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warunków bezpieczeństwa ruchu drogowego,</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zaplecza dla potrzeb wykonawcy</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warunków organizacji ruchu</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zabezpieczenia robót przed dostępem osób trzecich,</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zabezpieczenia chodników i jezdni</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ogrodzenia</w:t>
      </w:r>
    </w:p>
    <w:p>
      <w:pPr>
        <w:pStyle w:val="SpecyfikacjaSSTpodkrelenie"/>
        <w:ind w:start="426" w:end="423"/>
        <w:rPr>
          <w:rFonts w:ascii="Arial" w:hAnsi="Arial" w:cs="Arial"/>
          <w:sz w:val="24"/>
          <w:szCs w:val="24"/>
        </w:rPr>
      </w:pPr>
      <w:r>
        <w:rPr>
          <w:rFonts w:cs="Arial" w:ascii="Arial" w:hAnsi="Arial"/>
          <w:sz w:val="24"/>
          <w:szCs w:val="24"/>
        </w:rPr>
        <w:t>Zabezpieczenie terenu budowy</w:t>
      </w:r>
    </w:p>
    <w:p>
      <w:pPr>
        <w:pStyle w:val="SpecyfikacjaSSTpodstawowy"/>
        <w:ind w:start="426" w:end="423"/>
        <w:jc w:val="start"/>
        <w:rPr>
          <w:rFonts w:ascii="Arial" w:hAnsi="Arial" w:cs="Arial"/>
        </w:rPr>
      </w:pPr>
      <w:r>
        <w:rPr>
          <w:rFonts w:cs="Arial" w:ascii="Arial" w:hAnsi="Arial"/>
        </w:rPr>
        <w:t>Fakt przystąpienia i prowadzenie robót Wykonawca obwieści publicznie w sposób uzgodniony z Inspektorem nadzoru oraz przez umieszczenie, w miejscach i ilościach określonych przez Inspektora nadzoru, tablic informacyjnych i ostrzegawczych - w miarę potrzeb podświetlanych. Inspektor nadzoru określi niezbędny sposób ogrodzenia terenu budowy. Koszt zabezpieczenia terenu budowy nie podlega odrębnej zapłacie i przyjmuje się, że jest włączony w cenę umowną.</w:t>
      </w:r>
    </w:p>
    <w:p>
      <w:pPr>
        <w:pStyle w:val="SpecyfikacjaSSTpodstawowy"/>
        <w:ind w:start="426" w:end="423"/>
        <w:jc w:val="start"/>
        <w:rPr>
          <w:rFonts w:ascii="Arial" w:hAnsi="Arial" w:cs="Arial"/>
        </w:rPr>
      </w:pPr>
      <w:r>
        <w:rPr>
          <w:rFonts w:cs="Arial" w:ascii="Arial" w:hAnsi="Arial"/>
        </w:rPr>
      </w:r>
    </w:p>
    <w:p>
      <w:pPr>
        <w:pStyle w:val="SpecyfikacjaSSTpodstawowy"/>
        <w:ind w:start="426" w:end="423"/>
        <w:jc w:val="start"/>
        <w:rPr>
          <w:rFonts w:ascii="Arial" w:hAnsi="Arial" w:cs="Arial"/>
        </w:rPr>
      </w:pPr>
      <w:r>
        <w:rPr>
          <w:rFonts w:cs="Arial" w:ascii="Arial" w:hAnsi="Arial"/>
        </w:rPr>
      </w:r>
    </w:p>
    <w:p>
      <w:pPr>
        <w:pStyle w:val="SpecyfikacjaSSTpodstawowy"/>
        <w:ind w:start="426"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Ochrona i utrzymanie robót</w:t>
      </w:r>
    </w:p>
    <w:p>
      <w:pPr>
        <w:pStyle w:val="SpecyfikacjaSSTpodstawowy"/>
        <w:ind w:firstLine="282" w:start="426" w:end="423"/>
        <w:jc w:val="start"/>
        <w:rPr>
          <w:rFonts w:ascii="Arial" w:hAnsi="Arial" w:cs="Arial"/>
        </w:rPr>
      </w:pPr>
      <w:r>
        <w:rPr>
          <w:rFonts w:cs="Arial" w:ascii="Arial" w:hAnsi="Arial"/>
        </w:rPr>
        <w:t>Wykonawca będzie odpowiedzialny za ochronę robót i za wszelkie materiały i urządzenia używane do robót od daty rozpoczęcia do daty zakończenia robót i przekazanie obiektu Inwestorowi. Wykonawca będzie utrzymywać roboty do czasu odbioru ostatecznego. Utrzymanie powinno być prowadzone w taki sposób, aby obiekt lub jego elementy były w zadowalającym stanie przez cały czas, do momentu odbioru ostatecznego.</w:t>
      </w:r>
    </w:p>
    <w:p>
      <w:pPr>
        <w:pStyle w:val="SpecyfikacjaSSTpodstawowy"/>
        <w:ind w:start="426" w:end="423"/>
        <w:jc w:val="start"/>
        <w:rPr>
          <w:rFonts w:ascii="Arial" w:hAnsi="Arial" w:cs="Arial"/>
        </w:rPr>
      </w:pPr>
      <w:r>
        <w:rPr>
          <w:rFonts w:cs="Arial" w:ascii="Arial" w:hAnsi="Arial"/>
        </w:rPr>
        <w:t>Jeśli Wykonawca w jakimkolwiek czasie zaniedba utrzymanie, to na polecenie Inspektora Nadzoru powinien rozpocząć roboty utrzymaniowe nie później niż w 24 godziny po otrzymaniu tego polecenia, pod rygorem wstrzymania robót z winy Wykonawcy. Wykonawca dostarczy i zainstaluje niezbędne urządzenia zabezpieczające jak : ogrodzenie, oświetlenie ,znaki ostrzegawcze, dozorców itp. Koszt zabezpieczenia placu budowy nie podlega odrębnej zapłacie i przyjmuje sie że został włączony w cenę umowną.</w:t>
      </w:r>
    </w:p>
    <w:p>
      <w:pPr>
        <w:pStyle w:val="SpecyfikacjaSSTpodkrelenie"/>
        <w:ind w:start="426" w:end="423"/>
        <w:rPr>
          <w:rFonts w:ascii="Arial" w:hAnsi="Arial" w:cs="Arial"/>
          <w:sz w:val="24"/>
          <w:szCs w:val="24"/>
        </w:rPr>
      </w:pPr>
      <w:r>
        <w:rPr>
          <w:rFonts w:cs="Arial" w:ascii="Arial" w:hAnsi="Arial"/>
          <w:sz w:val="24"/>
          <w:szCs w:val="24"/>
        </w:rPr>
      </w:r>
    </w:p>
    <w:p>
      <w:pPr>
        <w:pStyle w:val="SpecyfikacjaSSTpodkrelenie"/>
        <w:ind w:start="426" w:end="423"/>
        <w:rPr>
          <w:rFonts w:ascii="Arial" w:hAnsi="Arial" w:cs="Arial"/>
          <w:sz w:val="24"/>
          <w:szCs w:val="24"/>
        </w:rPr>
      </w:pPr>
      <w:r>
        <w:rPr>
          <w:rFonts w:cs="Arial" w:ascii="Arial" w:hAnsi="Arial"/>
          <w:sz w:val="24"/>
          <w:szCs w:val="24"/>
        </w:rPr>
        <w:t>Zgodność robót z dokumentacją projektową i SST</w:t>
      </w:r>
    </w:p>
    <w:p>
      <w:pPr>
        <w:pStyle w:val="SpecyfikacjaSSTpodkrelenie"/>
        <w:ind w:firstLine="282" w:start="426" w:end="423"/>
        <w:rPr>
          <w:rFonts w:ascii="Arial" w:hAnsi="Arial" w:cs="Arial"/>
          <w:sz w:val="24"/>
          <w:szCs w:val="24"/>
        </w:rPr>
      </w:pPr>
      <w:r>
        <w:rPr>
          <w:rFonts w:eastAsia="Times New Roman" w:cs="Arial" w:ascii="Arial" w:hAnsi="Arial"/>
          <w:sz w:val="24"/>
          <w:szCs w:val="24"/>
          <w:u w:val="none"/>
          <w:lang w:eastAsia="pl-PL"/>
        </w:rPr>
        <w:t>Dokumentacja projektowa, SST ,dodatkowe dokumenty przekazane Wykonawcy stanowią załączniki do  umowy, a wymagania wyszczególnione w choćby jednym w nich są obowiązujące dla Wykonawcy tak, jakby zawarte były w całej dokumentacji. Wykonawca nie może wykorzystywać błędów lub opuszczeń w dokumentach  kontraktowych a o ich  wykryciu winien być powiadomiony Inspektor nadzoru który dokona odpowiednich zmian. Wszystkie wykonane roboty i dostarczone materiały mają być zgodne z dokumentacja projektową i SST. Wielkości określone w dokumentacji projektowej i SST będą uważane za wartości docelowe z uwzględnieniem odchylenia w ramach określonego przedziału tolerancji. W przypadku gdy dostarczone materiały lub wykonane roboty nie będą zgodne z dokumentacją projektową lub SST i mają wpływ na niezadowalającą jakość elementu budynku, to takie materiały zostaną zastąpione innymi a elementy budynku rozebrane i wykonane ponownie na koszt Wykonawcy.</w:t>
      </w:r>
    </w:p>
    <w:p>
      <w:pPr>
        <w:pStyle w:val="Heading2"/>
        <w:numPr>
          <w:ilvl w:val="1"/>
          <w:numId w:val="14"/>
        </w:numPr>
        <w:ind w:hanging="432" w:start="426" w:end="423"/>
        <w:rPr>
          <w:rFonts w:ascii="Arial" w:hAnsi="Arial" w:cs="Arial"/>
          <w:sz w:val="24"/>
          <w:szCs w:val="24"/>
        </w:rPr>
      </w:pPr>
      <w:bookmarkStart w:id="45" w:name="_Toc215176915"/>
      <w:bookmarkStart w:id="46" w:name="_Toc535218192"/>
      <w:bookmarkStart w:id="47" w:name="_Toc178478193"/>
      <w:bookmarkStart w:id="48" w:name="_Toc432063602"/>
      <w:bookmarkEnd w:id="46"/>
      <w:bookmarkEnd w:id="47"/>
      <w:bookmarkEnd w:id="48"/>
      <w:r>
        <w:rPr>
          <w:rFonts w:cs="Arial" w:ascii="Arial" w:hAnsi="Arial"/>
          <w:sz w:val="24"/>
          <w:szCs w:val="24"/>
        </w:rPr>
        <w:t>Powiązania prawne i odpowiedzialność prawna</w:t>
      </w:r>
      <w:bookmarkEnd w:id="45"/>
    </w:p>
    <w:p>
      <w:pPr>
        <w:pStyle w:val="SpecyfikacjaSSTpodkrelenie"/>
        <w:ind w:start="426" w:end="423"/>
        <w:rPr>
          <w:rFonts w:ascii="Arial" w:hAnsi="Arial" w:cs="Arial"/>
          <w:sz w:val="24"/>
          <w:szCs w:val="24"/>
        </w:rPr>
      </w:pPr>
      <w:r>
        <w:rPr>
          <w:rFonts w:cs="Arial" w:ascii="Arial" w:hAnsi="Arial"/>
          <w:sz w:val="24"/>
          <w:szCs w:val="24"/>
        </w:rPr>
        <w:t>Stosowanie się do ustaleń prawa i innych przepisów</w:t>
      </w:r>
    </w:p>
    <w:p>
      <w:pPr>
        <w:pStyle w:val="SpecyfikacjaSSTpodstawowy"/>
        <w:ind w:firstLine="282" w:start="426" w:end="423"/>
        <w:jc w:val="start"/>
        <w:rPr>
          <w:rFonts w:ascii="Arial" w:hAnsi="Arial" w:cs="Arial"/>
        </w:rPr>
      </w:pPr>
      <w:r>
        <w:rPr>
          <w:rFonts w:cs="Arial" w:ascii="Arial" w:hAnsi="Arial"/>
        </w:rPr>
        <w:t>Wykonawca zobowiązany jest znać i stosować wszystkie przepisy powszechnie obowiązujące oraz przepisy (wydane przez odpowiednie władze miejscowe), które są w jakichkolwiek sposób związane z robotami oraz musi być w pełni odpowiedzialny za ich przestrzeganie podczas prowadzenia budowy.</w:t>
      </w:r>
    </w:p>
    <w:p>
      <w:pPr>
        <w:pStyle w:val="SpecyfikacjaSSTpodstawowy"/>
        <w:ind w:start="426" w:end="423"/>
        <w:jc w:val="start"/>
        <w:rPr>
          <w:rFonts w:ascii="Arial" w:hAnsi="Arial" w:cs="Arial"/>
        </w:rPr>
      </w:pPr>
      <w:r>
        <w:rPr>
          <w:rFonts w:cs="Arial" w:ascii="Arial" w:hAnsi="Arial"/>
        </w:rPr>
        <w:t>Wykonawca będzie przestrzegać praw patentowych lub innych praw własności i będzie w pełni odpowiedzialny za wypełnienie wszystkich wymagań prawnych dotyczących wykorzystania opatentowanych rozwiązań projektowych, urządzeń, materiałów lub metod. W sposób ciągły powinien informować Inspektora o swoich działaniach, przedstawiając kopie zezwoleń i inne odnośne dokumenty.</w:t>
      </w:r>
    </w:p>
    <w:p>
      <w:pPr>
        <w:pStyle w:val="SpecyfikacjaSSTpodstawowy"/>
        <w:ind w:start="426" w:end="423"/>
        <w:jc w:val="start"/>
        <w:rPr>
          <w:rFonts w:ascii="Arial" w:hAnsi="Arial" w:cs="Arial"/>
        </w:rPr>
      </w:pPr>
      <w:r>
        <w:rPr>
          <w:rFonts w:cs="Arial" w:ascii="Arial" w:hAnsi="Arial"/>
        </w:rPr>
        <w:t>Jeśli nie dotrzymanie w/w wymagań spowoduje następstwa finansowe lub prawne to w całości obciążą one Wykonawcę.</w:t>
      </w:r>
    </w:p>
    <w:p>
      <w:pPr>
        <w:pStyle w:val="SpecyfikacjaSSTpodkrelenie"/>
        <w:ind w:start="426" w:end="423"/>
        <w:rPr>
          <w:rFonts w:ascii="Arial" w:hAnsi="Arial" w:cs="Arial"/>
          <w:sz w:val="24"/>
          <w:szCs w:val="24"/>
        </w:rPr>
      </w:pPr>
      <w:r>
        <w:rPr>
          <w:rFonts w:cs="Arial" w:ascii="Arial" w:hAnsi="Arial"/>
          <w:sz w:val="24"/>
          <w:szCs w:val="24"/>
        </w:rPr>
        <w:t>Ochrona własności publicznej i prywatnej</w:t>
      </w:r>
    </w:p>
    <w:p>
      <w:pPr>
        <w:pStyle w:val="SpecyfikacjaSSTpodstawowy"/>
        <w:ind w:firstLine="282" w:start="426" w:end="423"/>
        <w:jc w:val="start"/>
        <w:rPr>
          <w:rFonts w:ascii="Arial" w:hAnsi="Arial" w:cs="Arial"/>
        </w:rPr>
      </w:pPr>
      <w:r>
        <w:rPr>
          <w:rFonts w:cs="Arial" w:ascii="Arial" w:hAnsi="Arial"/>
        </w:rPr>
        <w:t>Wykonawca jest zobowiązany do ochrony przed uszkodzeniem lub zniszczeniem własności publicznej lub prywatnej. Jeżeli w związku z zaniedbaniem, niewłaściwym prowadzeniem robót lub brakiem koniecznych działań ze strony Wykonawcy nastąpi uszkodzenie lub zniszczenie własności prywatnej lub publicznej to Wykonawca, na swój koszt, naprawi lub odtworzy uszkodzoną własność. Stan uszkodzonej, a naprawionej własności powinien być nie gorszy niż przed powstaniem uszkodzenia.</w:t>
      </w:r>
    </w:p>
    <w:p>
      <w:pPr>
        <w:pStyle w:val="SpecyfikacjaSSTpodstawowy"/>
        <w:ind w:start="426" w:end="423"/>
        <w:jc w:val="start"/>
        <w:rPr>
          <w:rFonts w:ascii="Arial" w:hAnsi="Arial" w:cs="Arial"/>
        </w:rPr>
      </w:pPr>
      <w:r>
        <w:rPr>
          <w:rFonts w:cs="Arial" w:ascii="Arial" w:hAnsi="Arial"/>
        </w:rPr>
        <w:t>Wykonawca odpowiada za ochronę instalacji na powierzchni ziemi i za urządzenia podziemne oraz musi uzyskać od odpowiednich władz, będących właścicielami tych urządzeń, potwierdzenie informacji o ich lokalizacji (dostarczone przez Inwestora).</w:t>
      </w:r>
    </w:p>
    <w:p>
      <w:pPr>
        <w:pStyle w:val="SpecyfikacjaSSTpodstawowy"/>
        <w:ind w:start="426" w:end="423"/>
        <w:jc w:val="start"/>
        <w:rPr>
          <w:rFonts w:ascii="Arial" w:hAnsi="Arial" w:cs="Arial"/>
        </w:rPr>
      </w:pPr>
      <w:r>
        <w:rPr>
          <w:rFonts w:cs="Arial" w:ascii="Arial" w:hAnsi="Arial"/>
        </w:rPr>
        <w:t>Wykonawca zapewni w czasie trwania robót właściwe oznakowanie i zabezpieczenie przed uszkodzeniem tych instalacji i urządzeń.</w:t>
      </w:r>
    </w:p>
    <w:p>
      <w:pPr>
        <w:pStyle w:val="SpecyfikacjaSSTpodstawowy"/>
        <w:ind w:start="426" w:end="423"/>
        <w:jc w:val="start"/>
        <w:rPr>
          <w:rFonts w:ascii="Arial" w:hAnsi="Arial" w:cs="Arial"/>
        </w:rPr>
      </w:pPr>
      <w:r>
        <w:rPr>
          <w:rFonts w:cs="Arial" w:ascii="Arial" w:hAnsi="Arial"/>
        </w:rPr>
        <w:t>O fakcie przypadkowego uszkodzenia tych instalacji Wykonawca bezzwłocznie powiadomi Inspektora nadzoru i zainteresowanych użytkowników oraz będzie z nimi współpracował, dostarczając wszelkiej pomocy potrzebnej przy dokonywaniu napraw.</w:t>
      </w:r>
    </w:p>
    <w:p>
      <w:pPr>
        <w:pStyle w:val="SpecyfikacjaSSTpodstawowy"/>
        <w:ind w:start="426"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Ochrona środowiska w czasie wykonywania robót</w:t>
      </w:r>
    </w:p>
    <w:p>
      <w:pPr>
        <w:pStyle w:val="SpecyfikacjaSSTpodstawowy"/>
        <w:ind w:firstLine="282" w:start="426" w:end="423"/>
        <w:jc w:val="start"/>
        <w:rPr>
          <w:rFonts w:ascii="Arial" w:hAnsi="Arial" w:cs="Arial"/>
        </w:rPr>
      </w:pPr>
      <w:r>
        <w:rPr>
          <w:rFonts w:cs="Arial" w:ascii="Arial" w:hAnsi="Arial"/>
        </w:rPr>
        <w:t>Wykonawca ma obowiązek znać i stosować, w czasie prowadzenia robót, wszelkie przepisy ochrony środowiska naturalnego.</w:t>
      </w:r>
    </w:p>
    <w:p>
      <w:pPr>
        <w:pStyle w:val="SpecyfikacjaSSTpodstawowy"/>
        <w:ind w:start="426" w:end="423"/>
        <w:jc w:val="start"/>
        <w:rPr>
          <w:rFonts w:ascii="Arial" w:hAnsi="Arial" w:cs="Arial"/>
        </w:rPr>
      </w:pPr>
      <w:r>
        <w:rPr>
          <w:rFonts w:cs="Arial" w:ascii="Arial" w:hAnsi="Arial"/>
        </w:rPr>
        <w:t>W okresie trwania robót Wykonawca będzie: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utrzymywać teren budowy i wykopy w stanie bez wody stojącej,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pPr>
        <w:pStyle w:val="SpecyfikacjaSSTpodstawowy"/>
        <w:ind w:start="426" w:end="423"/>
        <w:jc w:val="start"/>
        <w:rPr>
          <w:rFonts w:ascii="Arial" w:hAnsi="Arial" w:cs="Arial"/>
        </w:rPr>
      </w:pPr>
      <w:r>
        <w:rPr>
          <w:rFonts w:cs="Arial" w:ascii="Arial" w:hAnsi="Arial"/>
        </w:rPr>
        <w:t>Stosując się do tych wymagań, Wykonawca będzie miał szczególny wzgląd na:</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lokalizację baz, warsztatów, magazynów, składowisk, ukopów i dróg dojazdowych,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środki ostrożności i zabezpieczenia przed:</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zanieczyszczeniem zbiorników i cieków wodnych pyłami lub substancjami toksycznymi,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zanieczyszczeniem powietrza pyłami i gazami,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możliwością powstania pożaru.</w:t>
      </w:r>
    </w:p>
    <w:p>
      <w:pPr>
        <w:pStyle w:val="SpecyfikacjaSSTpodstawowy"/>
        <w:ind w:start="426" w:end="423"/>
        <w:jc w:val="start"/>
        <w:rPr>
          <w:rFonts w:ascii="Arial" w:hAnsi="Arial" w:cs="Arial"/>
        </w:rPr>
      </w:pPr>
      <w:r>
        <w:rPr>
          <w:rFonts w:cs="Arial" w:ascii="Arial" w:hAnsi="Arial"/>
        </w:rPr>
        <w:t>Opłaty i kary za przekroczenia w trakcie realizacji robót norm, określonych w odpowiednich przepisach dotyczących ochrony środowiska, obciążają wykonawcę.</w:t>
      </w:r>
    </w:p>
    <w:p>
      <w:pPr>
        <w:pStyle w:val="SpecyfikacjaSSTpodstawowy"/>
        <w:ind w:start="426" w:end="423"/>
        <w:jc w:val="start"/>
        <w:rPr>
          <w:rFonts w:ascii="Arial" w:hAnsi="Arial" w:cs="Arial"/>
        </w:rPr>
      </w:pPr>
      <w:r>
        <w:rPr>
          <w:rFonts w:cs="Arial" w:ascii="Arial" w:hAnsi="Arial"/>
        </w:rPr>
        <w:t>Utylizacja ewentualnych materiałów szkodliwych należy do Wykonawcy i nie podlega dodatkowej opłacie.</w:t>
      </w:r>
    </w:p>
    <w:p>
      <w:pPr>
        <w:pStyle w:val="SpecyfikacjaSSTpodkrelenie"/>
        <w:ind w:start="426" w:end="423"/>
        <w:rPr>
          <w:rFonts w:ascii="Arial" w:hAnsi="Arial" w:cs="Arial"/>
          <w:sz w:val="24"/>
          <w:szCs w:val="24"/>
        </w:rPr>
      </w:pPr>
      <w:r>
        <w:rPr>
          <w:rFonts w:cs="Arial" w:ascii="Arial" w:hAnsi="Arial"/>
          <w:sz w:val="24"/>
          <w:szCs w:val="24"/>
        </w:rPr>
        <w:t>Ochrona przeciwpożarowa</w:t>
      </w:r>
    </w:p>
    <w:p>
      <w:pPr>
        <w:pStyle w:val="SpecyfikacjaSSTpodstawowy"/>
        <w:ind w:firstLine="282" w:start="426" w:end="423"/>
        <w:jc w:val="start"/>
        <w:rPr>
          <w:rFonts w:ascii="Arial" w:hAnsi="Arial" w:cs="Arial"/>
        </w:rPr>
      </w:pPr>
      <w:r>
        <w:rPr>
          <w:rFonts w:cs="Arial" w:ascii="Arial" w:hAnsi="Arial"/>
        </w:rPr>
        <w:t>Wykonawca będzie przestrzegać przepisów ochrony przeciwpożarowej.</w:t>
      </w:r>
    </w:p>
    <w:p>
      <w:pPr>
        <w:pStyle w:val="SpecyfikacjaSSTpodstawowy"/>
        <w:ind w:start="426" w:end="423"/>
        <w:jc w:val="start"/>
        <w:rPr>
          <w:rFonts w:ascii="Arial" w:hAnsi="Arial" w:cs="Arial"/>
        </w:rPr>
      </w:pPr>
      <w:r>
        <w:rPr>
          <w:rFonts w:cs="Arial" w:ascii="Arial" w:hAnsi="Arial"/>
        </w:rPr>
        <w:t>Sprawny sprzęt przeciwpożarowy, wymagany przez odpowiednie przepisy, Wykonawca rozmieści na terenie budowy, w pomieszczeniach biurowych i magazynowych oraz przy maszynach i w pojazdach mechanicznych. Materiały łatwopalne będą składane w sposób zgodny z odpowiednimi przepisami i zabezpieczone przed dostępem osób trzecich.</w:t>
      </w:r>
    </w:p>
    <w:p>
      <w:pPr>
        <w:pStyle w:val="SpecyfikacjaSSTpodstawowy"/>
        <w:ind w:start="426" w:end="423"/>
        <w:jc w:val="start"/>
        <w:rPr>
          <w:rFonts w:ascii="Arial" w:hAnsi="Arial" w:cs="Arial"/>
        </w:rPr>
      </w:pPr>
      <w:r>
        <w:rPr>
          <w:rFonts w:cs="Arial" w:ascii="Arial" w:hAnsi="Arial"/>
        </w:rPr>
        <w:t>Prace pożarowo niebezpieczne wykonywane będą na zasadach uzgodnionych z przedstawicielami użytkownika nieruchomości.</w:t>
      </w:r>
    </w:p>
    <w:p>
      <w:pPr>
        <w:pStyle w:val="SpecyfikacjaSSTpodstawowy"/>
        <w:ind w:start="426" w:end="423"/>
        <w:jc w:val="start"/>
        <w:rPr>
          <w:rFonts w:ascii="Arial" w:hAnsi="Arial" w:cs="Arial"/>
        </w:rPr>
      </w:pPr>
      <w:r>
        <w:rPr>
          <w:rFonts w:cs="Arial" w:ascii="Arial" w:hAnsi="Arial"/>
        </w:rPr>
        <w:t>Wykonawca będzie odpowiedzialny za wszystkie straty powodowane pożarem wywołanym jego działalnością przy realizacji robót przez personel Wykonawcy.</w:t>
      </w:r>
    </w:p>
    <w:p>
      <w:pPr>
        <w:pStyle w:val="SpecyfikacjaSSTpodstawowy"/>
        <w:ind w:start="426" w:end="423"/>
        <w:jc w:val="start"/>
        <w:rPr>
          <w:rFonts w:ascii="Arial" w:hAnsi="Arial" w:cs="Arial"/>
        </w:rPr>
      </w:pPr>
      <w:r>
        <w:rPr>
          <w:rFonts w:cs="Arial" w:ascii="Arial" w:hAnsi="Arial"/>
        </w:rPr>
        <w:t>Wykonawca odpowiadać będzie za straty spowodowane przez pożar wywołany przez osoby trzecie powstały w wyniku zaniedbań w zabezpieczeniu budowy i materiałów niebezpiecznych.</w:t>
      </w:r>
    </w:p>
    <w:p>
      <w:pPr>
        <w:pStyle w:val="SpecyfikacjaSSTpodkrelenie"/>
        <w:ind w:start="426" w:end="423"/>
        <w:rPr>
          <w:rFonts w:ascii="Arial" w:hAnsi="Arial" w:cs="Arial"/>
          <w:sz w:val="24"/>
          <w:szCs w:val="24"/>
        </w:rPr>
      </w:pPr>
      <w:r>
        <w:rPr>
          <w:rFonts w:cs="Arial" w:ascii="Arial" w:hAnsi="Arial"/>
          <w:sz w:val="24"/>
          <w:szCs w:val="24"/>
        </w:rPr>
        <w:t>Bezpieczeństwo i higiena pracy (bhp.)</w:t>
      </w:r>
    </w:p>
    <w:p>
      <w:pPr>
        <w:pStyle w:val="SpecyfikacjaSSTpodstawowy"/>
        <w:ind w:firstLine="282" w:start="426" w:end="423"/>
        <w:jc w:val="start"/>
        <w:rPr>
          <w:rFonts w:ascii="Arial" w:hAnsi="Arial" w:cs="Arial"/>
        </w:rPr>
      </w:pPr>
      <w:r>
        <w:rPr>
          <w:rFonts w:cs="Arial" w:ascii="Arial" w:hAnsi="Arial"/>
        </w:rPr>
        <w:t>Podczas realizacji robót Wykonawca przestrzegać będzie przepisów dotyczących bhp. W szczególności Wykonawca ma obowiązek zadbać, aby personel nie wykonywał pracy w warunkach niebezpiecznych, szkodliwych dla zdrowia oraz nie spełniających odpowiednich wymagań sanitarnych.</w:t>
      </w:r>
    </w:p>
    <w:p>
      <w:pPr>
        <w:pStyle w:val="SpecyfikacjaSSTpodstawowy"/>
        <w:ind w:start="426" w:end="423"/>
        <w:jc w:val="start"/>
        <w:rPr>
          <w:rFonts w:ascii="Arial" w:hAnsi="Arial" w:cs="Arial"/>
        </w:rPr>
      </w:pPr>
      <w:r>
        <w:rPr>
          <w:rFonts w:cs="Arial" w:ascii="Arial" w:hAnsi="Arial"/>
        </w:rPr>
        <w:t>Wykonawca zapewni i będzie utrzymywał wszelkie urządzenia zabezpieczające, socjalne oraz sprzęt i odpowiednią odzież dla ochrony życia i zdrowie osób zatrudnionych na budowie oraz dla zapewnienia bezpieczeństwa publicznego. Uznaje się, że wszystkie koszty związane z wypełnieniem wymagań określonych powyżej nie podlegają odrębnej zapłacie i są uwzględnione w cenie kosztorysowej.</w:t>
      </w:r>
    </w:p>
    <w:p>
      <w:pPr>
        <w:pStyle w:val="SpecyfikacjaSSTpodkrelenie"/>
        <w:ind w:firstLine="282" w:start="426" w:end="423"/>
        <w:rPr>
          <w:rFonts w:ascii="Arial" w:hAnsi="Arial" w:cs="Arial"/>
          <w:sz w:val="24"/>
          <w:szCs w:val="24"/>
        </w:rPr>
      </w:pPr>
      <w:r>
        <w:rPr>
          <w:rFonts w:cs="Arial" w:ascii="Arial" w:hAnsi="Arial"/>
          <w:sz w:val="24"/>
          <w:szCs w:val="24"/>
        </w:rPr>
        <w:t>Ograniczenie obciążeń osi pojazdów</w:t>
      </w:r>
    </w:p>
    <w:p>
      <w:pPr>
        <w:pStyle w:val="SpecyfikacjaSSTpodstawowy"/>
        <w:ind w:start="426" w:end="423"/>
        <w:jc w:val="start"/>
        <w:rPr>
          <w:rFonts w:ascii="Arial" w:hAnsi="Arial" w:cs="Arial"/>
        </w:rPr>
      </w:pPr>
      <w:r>
        <w:rPr>
          <w:rFonts w:cs="Arial" w:ascii="Arial" w:hAnsi="Arial"/>
        </w:rPr>
        <w:t>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pPr>
        <w:pStyle w:val="Heading1"/>
        <w:numPr>
          <w:ilvl w:val="0"/>
          <w:numId w:val="13"/>
        </w:numPr>
        <w:ind w:hanging="360" w:start="426" w:end="423"/>
        <w:rPr>
          <w:rFonts w:ascii="Arial" w:hAnsi="Arial" w:cs="Arial"/>
          <w:sz w:val="24"/>
          <w:szCs w:val="24"/>
        </w:rPr>
      </w:pPr>
      <w:bookmarkStart w:id="49" w:name="_Toc215176916"/>
      <w:bookmarkStart w:id="50" w:name="_Toc535218193"/>
      <w:bookmarkEnd w:id="50"/>
      <w:r>
        <w:rPr>
          <w:rFonts w:cs="Arial" w:ascii="Arial" w:hAnsi="Arial"/>
          <w:sz w:val="24"/>
          <w:szCs w:val="24"/>
        </w:rPr>
        <w:t>WYMAGANIA DOTYCZĄCE WŁAŚCIWOŚCI MATERIAŁÓW</w:t>
      </w:r>
      <w:bookmarkEnd w:id="49"/>
    </w:p>
    <w:p>
      <w:pPr>
        <w:pStyle w:val="Normal"/>
        <w:shd w:val="clear" w:color="auto" w:fill="FFFFFF"/>
        <w:ind w:firstLine="282" w:start="426" w:end="423"/>
        <w:rPr>
          <w:sz w:val="24"/>
          <w:szCs w:val="24"/>
        </w:rPr>
      </w:pPr>
      <w:r>
        <w:rPr>
          <w:color w:val="000000"/>
          <w:sz w:val="24"/>
          <w:szCs w:val="24"/>
        </w:rPr>
        <w:t>Wszelkie nazwy własne produktów i materiałów przywołane w specyfikacji służą ustaleniu pożądanego standardu wykonania i określenia właściwości i wymogów technicznych założonych w dokumentacji technicznej dla projektowanych rozwiązań.</w:t>
      </w:r>
    </w:p>
    <w:p>
      <w:pPr>
        <w:pStyle w:val="Normal"/>
        <w:shd w:val="clear" w:color="auto" w:fill="FFFFFF"/>
        <w:ind w:start="426" w:end="423"/>
        <w:rPr>
          <w:sz w:val="24"/>
          <w:szCs w:val="24"/>
        </w:rPr>
      </w:pPr>
      <w:r>
        <w:rPr>
          <w:color w:val="000000"/>
          <w:spacing w:val="1"/>
          <w:sz w:val="24"/>
          <w:szCs w:val="24"/>
        </w:rPr>
        <w:t>Dopuszcza się zamieszczenie rozwiązań w oparciu o produkty (wyroby) innych produ</w:t>
      </w:r>
      <w:r>
        <w:rPr>
          <w:color w:val="000000"/>
          <w:sz w:val="24"/>
          <w:szCs w:val="24"/>
        </w:rPr>
        <w:t>centów pod warunkiem:</w:t>
      </w:r>
    </w:p>
    <w:p>
      <w:pPr>
        <w:pStyle w:val="Normal"/>
        <w:numPr>
          <w:ilvl w:val="0"/>
          <w:numId w:val="5"/>
        </w:numPr>
        <w:shd w:val="clear" w:color="auto" w:fill="FFFFFF"/>
        <w:ind w:start="426" w:end="423"/>
        <w:rPr>
          <w:sz w:val="24"/>
          <w:szCs w:val="24"/>
        </w:rPr>
      </w:pPr>
      <w:r>
        <w:rPr>
          <w:color w:val="000000"/>
          <w:sz w:val="24"/>
          <w:szCs w:val="24"/>
        </w:rPr>
        <w:t>spełniania tych samych właściwości technicznych,</w:t>
      </w:r>
    </w:p>
    <w:p>
      <w:pPr>
        <w:pStyle w:val="Normal"/>
        <w:numPr>
          <w:ilvl w:val="0"/>
          <w:numId w:val="5"/>
        </w:numPr>
        <w:shd w:val="clear" w:color="auto" w:fill="FFFFFF"/>
        <w:ind w:hanging="281" w:start="426" w:end="423"/>
        <w:rPr>
          <w:sz w:val="24"/>
          <w:szCs w:val="24"/>
        </w:rPr>
      </w:pPr>
      <w:r>
        <w:rPr>
          <w:color w:val="000000"/>
          <w:spacing w:val="1"/>
          <w:sz w:val="24"/>
          <w:szCs w:val="24"/>
        </w:rPr>
        <w:t>przedstawienia zamiennych rozwiązań na piśmie (dane techniczne, atesty, dopuszcze</w:t>
      </w:r>
      <w:r>
        <w:rPr>
          <w:color w:val="000000"/>
          <w:sz w:val="24"/>
          <w:szCs w:val="24"/>
        </w:rPr>
        <w:t>nia do stosowania, uzyskanie akceptacji projektanta).</w:t>
      </w:r>
    </w:p>
    <w:p>
      <w:pPr>
        <w:pStyle w:val="SpecyfikacjaSSTpodkrelenie"/>
        <w:ind w:start="426" w:end="423"/>
        <w:rPr>
          <w:rFonts w:ascii="Arial" w:hAnsi="Arial" w:cs="Arial"/>
          <w:sz w:val="24"/>
          <w:szCs w:val="24"/>
        </w:rPr>
      </w:pPr>
      <w:r>
        <w:rPr>
          <w:rFonts w:cs="Arial" w:ascii="Arial" w:hAnsi="Arial"/>
          <w:sz w:val="24"/>
          <w:szCs w:val="24"/>
        </w:rPr>
        <w:t>Akceptowanie użytych materiałów</w:t>
      </w:r>
    </w:p>
    <w:p>
      <w:pPr>
        <w:pStyle w:val="SpecyfikacjaSSTpodstawowy"/>
        <w:ind w:firstLine="282" w:start="426" w:end="423"/>
        <w:jc w:val="start"/>
        <w:rPr>
          <w:rFonts w:ascii="Arial" w:hAnsi="Arial" w:cs="Arial"/>
        </w:rPr>
      </w:pPr>
      <w:r>
        <w:rPr>
          <w:rFonts w:cs="Arial" w:ascii="Arial" w:hAnsi="Arial"/>
        </w:rPr>
        <w:t>Co najmniej na trzy tygodnie przed zaplanowanym wykorzystaniem jakichkolwiek materiałów przeznaczonych do robót Wykonawca przedstawi szczegółowe informacje dotyczące proponowanego źródła wytwarzania, zamawiania oraz odpowiednie świadectwa badania jakości w celu zatwierdzenia przez Inspektora Nadzoru. Zatwierdzenie jednego materiału z danego źródła nie oznacza automatycznego zatwierdzenia pozostałych materiałów z tego źródła.</w:t>
      </w:r>
    </w:p>
    <w:p>
      <w:pPr>
        <w:pStyle w:val="SpecyfikacjaSSTpodstawowy"/>
        <w:ind w:start="426" w:end="423"/>
        <w:jc w:val="start"/>
        <w:rPr>
          <w:rFonts w:ascii="Arial" w:hAnsi="Arial" w:cs="Arial"/>
        </w:rPr>
      </w:pPr>
      <w:r>
        <w:rPr>
          <w:rFonts w:cs="Arial" w:ascii="Arial" w:hAnsi="Arial"/>
        </w:rPr>
        <w:t>Wykonawca zobowiązany jest do prowadzenia badań w celu udokumentowania, że materiały uzyskane z dopuszczalnego źródła w sposób ciągły spełniają wymagania ST w czasie prowadzenia robót.</w:t>
      </w:r>
    </w:p>
    <w:p>
      <w:pPr>
        <w:pStyle w:val="SpecyfikacjaSSTpodstawowy"/>
        <w:ind w:start="426" w:end="423"/>
        <w:jc w:val="start"/>
        <w:rPr>
          <w:rFonts w:ascii="Arial" w:hAnsi="Arial" w:cs="Arial"/>
        </w:rPr>
      </w:pPr>
      <w:r>
        <w:rPr>
          <w:rFonts w:cs="Arial" w:ascii="Arial" w:hAnsi="Arial"/>
        </w:rPr>
        <w:t>Jeżeli materiały z akceptowanego źródła są niejednorodne lub nie zadawalającej jakości, Wykonawca powinien zmienić źródło zaopatrywania w materiały.</w:t>
      </w:r>
    </w:p>
    <w:p>
      <w:pPr>
        <w:pStyle w:val="SpecyfikacjaSSTpodstawowy"/>
        <w:ind w:start="426" w:end="423"/>
        <w:jc w:val="start"/>
        <w:rPr>
          <w:rFonts w:ascii="Arial" w:hAnsi="Arial" w:cs="Arial"/>
        </w:rPr>
      </w:pPr>
      <w:r>
        <w:rPr>
          <w:rFonts w:cs="Arial" w:ascii="Arial" w:hAnsi="Arial"/>
        </w:rPr>
        <w:t>Materiały wykończeniowe stosowane na płaszczyznach widocznych z jednego miejsca powinny być z tej samej partii materiału w celu zachowania tych samych właściwości kolorystycznych w czasie całego procesu eksploatacji.</w:t>
      </w:r>
    </w:p>
    <w:p>
      <w:pPr>
        <w:pStyle w:val="SpecyfikacjaSSTpodkrelenie"/>
        <w:ind w:start="426" w:end="423"/>
        <w:rPr>
          <w:rFonts w:ascii="Arial" w:hAnsi="Arial" w:cs="Arial"/>
          <w:sz w:val="24"/>
          <w:szCs w:val="24"/>
        </w:rPr>
      </w:pPr>
      <w:bookmarkStart w:id="51" w:name="_Toc125436463"/>
      <w:bookmarkEnd w:id="51"/>
      <w:r>
        <w:rPr>
          <w:rFonts w:cs="Arial" w:ascii="Arial" w:hAnsi="Arial"/>
          <w:sz w:val="24"/>
          <w:szCs w:val="24"/>
        </w:rPr>
        <w:t>Pozyskiwanie materiałów miejscowych</w:t>
      </w:r>
    </w:p>
    <w:p>
      <w:pPr>
        <w:pStyle w:val="SpecyfikacjaSSTpodstawowy"/>
        <w:ind w:firstLine="282" w:start="426" w:end="423"/>
        <w:jc w:val="start"/>
        <w:rPr>
          <w:rFonts w:ascii="Arial" w:hAnsi="Arial" w:cs="Arial"/>
        </w:rPr>
      </w:pPr>
      <w:r>
        <w:rPr>
          <w:rFonts w:cs="Arial" w:ascii="Arial" w:hAnsi="Arial"/>
        </w:rPr>
        <w:t>Wykonawca odpowiada za uzyskanie pozwoleń od właścicieli i odnośnych władz na pozyskanie materiałów z jakichkolwiek źródeł miejscowych włączając w to źródła wskazane przez Inwestora i jest zobowiązany dostarczyć Inspektorowi Nadzoru wymagane dokumenty przed rozpoczęciem eksploatacji źródła.</w:t>
      </w:r>
    </w:p>
    <w:p>
      <w:pPr>
        <w:pStyle w:val="SpecyfikacjaSSTpodstawowy"/>
        <w:ind w:start="426" w:end="423"/>
        <w:jc w:val="start"/>
        <w:rPr>
          <w:rFonts w:ascii="Arial" w:hAnsi="Arial" w:cs="Arial"/>
        </w:rPr>
      </w:pPr>
      <w:r>
        <w:rPr>
          <w:rFonts w:cs="Arial" w:ascii="Arial" w:hAnsi="Arial"/>
        </w:rPr>
        <w:t>Wykonawca przedstawi dokumentację zawierającą raporty z badań terenowych i laboratoryjnych oraz proponowaną przez siebie metodę wydobycia i selekcji do zatwierdzenia Inspektorowi Nadzoru.</w:t>
      </w:r>
    </w:p>
    <w:p>
      <w:pPr>
        <w:pStyle w:val="SpecyfikacjaSSTpodstawowy"/>
        <w:ind w:start="426" w:end="423"/>
        <w:jc w:val="start"/>
        <w:rPr>
          <w:rFonts w:ascii="Arial" w:hAnsi="Arial" w:cs="Arial"/>
        </w:rPr>
      </w:pPr>
      <w:r>
        <w:rPr>
          <w:rFonts w:cs="Arial" w:ascii="Arial" w:hAnsi="Arial"/>
        </w:rPr>
        <w:t>Wykonawca ponosi odpowiedzialność za spełnienie wymagań ilościowych i jakościowych materiałów z jakiegokolwiek źródła.</w:t>
      </w:r>
    </w:p>
    <w:p>
      <w:pPr>
        <w:pStyle w:val="SpecyfikacjaSSTpodstawowy"/>
        <w:ind w:start="426" w:end="423"/>
        <w:jc w:val="start"/>
        <w:rPr>
          <w:rFonts w:ascii="Arial" w:hAnsi="Arial" w:cs="Arial"/>
        </w:rPr>
      </w:pPr>
      <w:r>
        <w:rPr>
          <w:rFonts w:cs="Arial" w:ascii="Arial" w:hAnsi="Arial"/>
        </w:rPr>
        <w:t>Wykonawca poniesie wszystkie koszty, a w tym: opłaty, wynagrodzenia i jakiekolwiek inne koszty związane z dostarczeniem materiałów do robót.</w:t>
      </w:r>
    </w:p>
    <w:p>
      <w:pPr>
        <w:pStyle w:val="SpecyfikacjaSSTpodstawowy"/>
        <w:ind w:start="426" w:end="423"/>
        <w:jc w:val="start"/>
        <w:rPr>
          <w:rFonts w:ascii="Arial" w:hAnsi="Arial" w:cs="Arial"/>
        </w:rPr>
      </w:pPr>
      <w:r>
        <w:rPr>
          <w:rFonts w:cs="Arial" w:ascii="Arial" w:hAnsi="Arial"/>
        </w:rPr>
        <w:t>Humus i nadkład czasowo zdjęte z terenu wykopów, ukopów i miejsc pozyskania piasku i żwiru będą formowane w hałdy i wykorzystane przy zasypce i rekultywacji terenu po ukończeniu robót.</w:t>
      </w:r>
    </w:p>
    <w:p>
      <w:pPr>
        <w:pStyle w:val="SpecyfikacjaSSTpodstawowy"/>
        <w:ind w:start="426" w:end="423"/>
        <w:jc w:val="start"/>
        <w:rPr>
          <w:rFonts w:ascii="Arial" w:hAnsi="Arial" w:cs="Arial"/>
        </w:rPr>
      </w:pPr>
      <w:r>
        <w:rPr>
          <w:rFonts w:cs="Arial" w:ascii="Arial" w:hAnsi="Arial"/>
        </w:rPr>
        <w:t>Wszystkie odpowiednie materiały pozyskane z wykopów na terenie budowy lub z innych miejsc wskazanych w dokumentach Umowy będą wykorzystane do robót lub odwiezione na odkład odpowiednio do wymagań Umowy lub wskazań Inspektora Nadzoru.</w:t>
      </w:r>
    </w:p>
    <w:p>
      <w:pPr>
        <w:pStyle w:val="SpecyfikacjaSSTpodstawowy"/>
        <w:ind w:start="426" w:end="423"/>
        <w:jc w:val="start"/>
        <w:rPr>
          <w:rFonts w:ascii="Arial" w:hAnsi="Arial" w:cs="Arial"/>
        </w:rPr>
      </w:pPr>
      <w:r>
        <w:rPr>
          <w:rFonts w:cs="Arial" w:ascii="Arial" w:hAnsi="Arial"/>
        </w:rPr>
        <w:t>Eksploatacja źródeł materiałów będzie zgodna z wszelkimi regulacjami prawnymi obowiązującymi na danym obszarze.</w:t>
      </w:r>
    </w:p>
    <w:p>
      <w:pPr>
        <w:pStyle w:val="SpecyfikacjaSSTpodstawowy"/>
        <w:ind w:start="426"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Materiały nie odpowiadające wymaganiom</w:t>
      </w:r>
    </w:p>
    <w:p>
      <w:pPr>
        <w:pStyle w:val="SpecyfikacjaSSTpodstawowy"/>
        <w:ind w:firstLine="282" w:start="426" w:end="423"/>
        <w:jc w:val="start"/>
        <w:rPr>
          <w:rFonts w:ascii="Arial" w:hAnsi="Arial" w:cs="Arial"/>
        </w:rPr>
      </w:pPr>
      <w:r>
        <w:rPr>
          <w:rFonts w:cs="Arial" w:ascii="Arial" w:hAnsi="Arial"/>
        </w:rPr>
        <w:t>Materiały nie odpowiadające wymaganiom zostaną przez Wykonawcę wywiezione z terenu budowy. Każdy rodzaj robót, w którym znajdują się nie zbadane i nie zaakceptowane materiały, Wykonawca wykonuje na własne ryzyko licząc się z tym, że roboty nie zostaną przyjęte i nie będą zapłacone.</w:t>
      </w:r>
    </w:p>
    <w:p>
      <w:pPr>
        <w:pStyle w:val="SpecyfikacjaSSTpodkrelenie"/>
        <w:ind w:start="426" w:end="423"/>
        <w:rPr>
          <w:rFonts w:ascii="Arial" w:hAnsi="Arial" w:cs="Arial"/>
          <w:sz w:val="24"/>
          <w:szCs w:val="24"/>
        </w:rPr>
      </w:pPr>
      <w:r>
        <w:rPr>
          <w:rFonts w:cs="Arial" w:ascii="Arial" w:hAnsi="Arial"/>
          <w:sz w:val="24"/>
          <w:szCs w:val="24"/>
        </w:rPr>
        <w:t>Przechowywanie i składowanie materiałów</w:t>
      </w:r>
    </w:p>
    <w:p>
      <w:pPr>
        <w:pStyle w:val="SpecyfikacjaSSTpodstawowy"/>
        <w:ind w:firstLine="282" w:start="426" w:end="423"/>
        <w:jc w:val="start"/>
        <w:rPr>
          <w:rFonts w:ascii="Arial" w:hAnsi="Arial" w:cs="Arial"/>
        </w:rPr>
      </w:pPr>
      <w:r>
        <w:rPr>
          <w:rFonts w:cs="Arial" w:ascii="Arial" w:hAnsi="Arial"/>
        </w:rPr>
        <w:t>Wykonawca zapewni, aby tymczasowo składowane materiały, (do czasu, gdy będą one potrzebne do wbudowania) były zabezpieczone przed zniszczeniem, zachowały swoją jakość i właściwości oraz były dostępne do kontroli przez Inspektora Nadzoru. Przechowywanie materiałów musi się odbywać na zasadach i w warunkach odpowiednich dla danego materiału oraz w sposób skutecznie zabezpieczający przed dostępem osób trzecich.</w:t>
      </w:r>
    </w:p>
    <w:p>
      <w:pPr>
        <w:pStyle w:val="SpecyfikacjaSSTpodstawowy"/>
        <w:ind w:start="426" w:end="423"/>
        <w:jc w:val="start"/>
        <w:rPr>
          <w:rFonts w:ascii="Arial" w:hAnsi="Arial" w:cs="Arial"/>
        </w:rPr>
      </w:pPr>
      <w:r>
        <w:rPr>
          <w:rFonts w:cs="Arial" w:ascii="Arial" w:hAnsi="Arial"/>
        </w:rPr>
        <w:t>Wszystkie miejsca czasowego składowania materiałów powinny być po zakończeniu robót doprowadzone przez Wykonawcę do ich pierwotnego stanu.</w:t>
      </w:r>
    </w:p>
    <w:p>
      <w:pPr>
        <w:pStyle w:val="SpecyfikacjaSSTpodkrelenie"/>
        <w:ind w:start="426" w:end="423"/>
        <w:rPr>
          <w:rFonts w:ascii="Arial" w:hAnsi="Arial" w:cs="Arial"/>
          <w:sz w:val="24"/>
          <w:szCs w:val="24"/>
        </w:rPr>
      </w:pPr>
      <w:bookmarkStart w:id="52" w:name="_Toc125436467"/>
      <w:bookmarkEnd w:id="52"/>
      <w:r>
        <w:rPr>
          <w:rFonts w:cs="Arial" w:ascii="Arial" w:hAnsi="Arial"/>
          <w:sz w:val="24"/>
          <w:szCs w:val="24"/>
        </w:rPr>
        <w:t>Wariantowe stosowanie materiałów</w:t>
      </w:r>
    </w:p>
    <w:p>
      <w:pPr>
        <w:pStyle w:val="SpecyfikacjaSSTpodstawowy"/>
        <w:ind w:firstLine="282" w:start="426" w:end="423"/>
        <w:jc w:val="start"/>
        <w:rPr>
          <w:rFonts w:ascii="Arial" w:hAnsi="Arial" w:cs="Arial"/>
        </w:rPr>
      </w:pPr>
      <w:r>
        <w:rPr>
          <w:rFonts w:cs="Arial" w:ascii="Arial" w:hAnsi="Arial"/>
        </w:rPr>
        <w:t xml:space="preserve">Jeśli dokumentacja projektowa lub SST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 </w:t>
      </w:r>
    </w:p>
    <w:p>
      <w:pPr>
        <w:pStyle w:val="SpecyfikacjaSSTpodstawowy"/>
        <w:ind w:start="426" w:end="423"/>
        <w:jc w:val="start"/>
        <w:rPr>
          <w:rFonts w:ascii="Arial" w:hAnsi="Arial" w:cs="Arial"/>
        </w:rPr>
      </w:pPr>
      <w:r>
        <w:rPr>
          <w:rFonts w:cs="Arial" w:ascii="Arial" w:hAnsi="Arial"/>
        </w:rPr>
        <w:t>Proponowane materiały zamienne muszą charakteryzować się parametrami techniczno-użytkowymi nie gorszymi od materiałów wskazanych w projekcie, a Wykonawca zobowiązany jest na życzenie Inspektora Nadzoru przedstawić specyfikację techniczną materiałów zamiennych popartą wynikami badań niezależnych certyfikowanych laboratoriów technologicznych. Wszystkie materiały o nazwach własnych wskazane w dokumentacji projektowej i SST należy traktować jako standardy określające wymagania jakościowe i techniczne zdefiniowane przez projektanta.</w:t>
      </w:r>
    </w:p>
    <w:p>
      <w:pPr>
        <w:pStyle w:val="Normal"/>
        <w:shd w:val="clear" w:color="auto" w:fill="FFFFFF"/>
        <w:ind w:start="426" w:end="423"/>
        <w:rPr>
          <w:color w:val="000000"/>
          <w:sz w:val="24"/>
          <w:szCs w:val="24"/>
        </w:rPr>
      </w:pPr>
      <w:r>
        <w:rPr>
          <w:color w:val="000000"/>
          <w:sz w:val="24"/>
          <w:szCs w:val="24"/>
        </w:rPr>
      </w:r>
    </w:p>
    <w:p>
      <w:pPr>
        <w:pStyle w:val="Heading2"/>
        <w:numPr>
          <w:ilvl w:val="1"/>
          <w:numId w:val="13"/>
        </w:numPr>
        <w:ind w:hanging="432" w:start="426" w:end="423"/>
        <w:rPr>
          <w:rFonts w:ascii="Arial" w:hAnsi="Arial" w:cs="Arial"/>
          <w:sz w:val="24"/>
          <w:szCs w:val="24"/>
        </w:rPr>
      </w:pPr>
      <w:bookmarkStart w:id="53" w:name="_Toc215176917"/>
      <w:bookmarkStart w:id="54" w:name="_Toc535218194"/>
      <w:r>
        <w:rPr>
          <w:rFonts w:cs="Arial" w:ascii="Arial" w:hAnsi="Arial"/>
          <w:sz w:val="24"/>
          <w:szCs w:val="24"/>
        </w:rPr>
        <w:t>Ogólne wymagania dotyczące właściwości materiałów, ich pozyskiwania i składowania podano w ST „Wymagania ogólne"</w:t>
      </w:r>
      <w:bookmarkEnd w:id="53"/>
      <w:bookmarkEnd w:id="54"/>
      <w:r>
        <w:rPr>
          <w:rFonts w:cs="Arial" w:ascii="Arial" w:hAnsi="Arial"/>
          <w:sz w:val="24"/>
          <w:szCs w:val="24"/>
        </w:rPr>
        <w:t xml:space="preserve"> </w:t>
      </w:r>
    </w:p>
    <w:p>
      <w:pPr>
        <w:pStyle w:val="Normal"/>
        <w:shd w:val="clear" w:color="auto" w:fill="FFFFFF"/>
        <w:ind w:firstLine="282" w:start="426" w:end="423"/>
        <w:rPr>
          <w:sz w:val="24"/>
          <w:szCs w:val="24"/>
        </w:rPr>
      </w:pPr>
      <w:r>
        <w:rPr>
          <w:color w:val="000000"/>
          <w:sz w:val="24"/>
          <w:szCs w:val="24"/>
        </w:rPr>
        <w:t>Do wykonania i montażu instalacji, urządzeń elektrycznych i odbiorników energii elektrycz</w:t>
      </w:r>
      <w:r>
        <w:rPr>
          <w:color w:val="000000"/>
          <w:spacing w:val="4"/>
          <w:sz w:val="24"/>
          <w:szCs w:val="24"/>
        </w:rPr>
        <w:t xml:space="preserve">nej należy stosować przewody, kable, osprzęt oraz aparaturę </w:t>
      </w:r>
      <w:r>
        <w:rPr>
          <w:color w:val="000000"/>
          <w:spacing w:val="-1"/>
          <w:sz w:val="24"/>
          <w:szCs w:val="24"/>
        </w:rPr>
        <w:t>i urządzenia elektryczne posiadające dopuszczenie do stosowania w budownictwie.</w:t>
      </w:r>
    </w:p>
    <w:p>
      <w:pPr>
        <w:pStyle w:val="Normal"/>
        <w:shd w:val="clear" w:color="auto" w:fill="FFFFFF"/>
        <w:ind w:start="426" w:end="423"/>
        <w:rPr>
          <w:sz w:val="24"/>
          <w:szCs w:val="24"/>
        </w:rPr>
      </w:pPr>
      <w:r>
        <w:rPr>
          <w:color w:val="000000"/>
          <w:spacing w:val="-1"/>
          <w:sz w:val="24"/>
          <w:szCs w:val="24"/>
        </w:rPr>
        <w:t>Za dopuszczone do obrotu i stosowania uznaje się wyroby, dla których producent lub je</w:t>
      </w:r>
      <w:r>
        <w:rPr>
          <w:color w:val="000000"/>
          <w:sz w:val="24"/>
          <w:szCs w:val="24"/>
        </w:rPr>
        <w:t>go upoważniony przedstawiciel:</w:t>
      </w:r>
    </w:p>
    <w:p>
      <w:pPr>
        <w:pStyle w:val="Normal"/>
        <w:numPr>
          <w:ilvl w:val="0"/>
          <w:numId w:val="5"/>
        </w:numPr>
        <w:shd w:val="clear" w:color="auto" w:fill="FFFFFF"/>
        <w:ind w:hanging="281" w:start="426" w:end="423"/>
        <w:rPr>
          <w:sz w:val="24"/>
          <w:szCs w:val="24"/>
        </w:rPr>
      </w:pPr>
      <w:r>
        <w:rPr>
          <w:color w:val="000000"/>
          <w:spacing w:val="1"/>
          <w:sz w:val="24"/>
          <w:szCs w:val="24"/>
        </w:rPr>
        <w:t xml:space="preserve">dokonał oceny zgodności z wymaganiami dokumentu odniesienia według określonego </w:t>
      </w:r>
      <w:r>
        <w:rPr>
          <w:color w:val="000000"/>
          <w:spacing w:val="-1"/>
          <w:sz w:val="24"/>
          <w:szCs w:val="24"/>
        </w:rPr>
        <w:t>systemu oceny zgodności,</w:t>
      </w:r>
    </w:p>
    <w:p>
      <w:pPr>
        <w:pStyle w:val="Normal"/>
        <w:numPr>
          <w:ilvl w:val="0"/>
          <w:numId w:val="5"/>
        </w:numPr>
        <w:shd w:val="clear" w:color="auto" w:fill="FFFFFF"/>
        <w:ind w:hanging="281" w:start="426" w:end="423"/>
        <w:rPr>
          <w:sz w:val="24"/>
          <w:szCs w:val="24"/>
        </w:rPr>
      </w:pPr>
      <w:r>
        <w:rPr>
          <w:color w:val="000000"/>
          <w:spacing w:val="3"/>
          <w:sz w:val="24"/>
          <w:szCs w:val="24"/>
        </w:rPr>
        <w:t xml:space="preserve">wydał deklarację zgodności z dokumentami odniesienia, takimi jak: zharmonizowane </w:t>
      </w:r>
      <w:r>
        <w:rPr>
          <w:color w:val="000000"/>
          <w:spacing w:val="2"/>
          <w:sz w:val="24"/>
          <w:szCs w:val="24"/>
        </w:rPr>
        <w:t xml:space="preserve">specyfikacje techniczne, normy opracowane przez Międzynarodową Komisję Elektrotechniczną (IEC) i wprowadzone do zbioru Polskich Norm, normy krajowe opracowane </w:t>
      </w:r>
      <w:r>
        <w:rPr>
          <w:color w:val="000000"/>
          <w:spacing w:val="1"/>
          <w:sz w:val="24"/>
          <w:szCs w:val="24"/>
        </w:rPr>
        <w:t xml:space="preserve">z uwzględnieniem przepisów bezpieczeństwa Międzynarodowej Komisji ds. Przepisów </w:t>
      </w:r>
      <w:r>
        <w:rPr>
          <w:color w:val="000000"/>
          <w:spacing w:val="-1"/>
          <w:sz w:val="24"/>
          <w:szCs w:val="24"/>
        </w:rPr>
        <w:t>Dotyczących Zatwierdzenia Sprzętu Elektrycznego (CEE), aprobaty techniczne,</w:t>
      </w:r>
    </w:p>
    <w:p>
      <w:pPr>
        <w:pStyle w:val="Normal"/>
        <w:numPr>
          <w:ilvl w:val="0"/>
          <w:numId w:val="5"/>
        </w:numPr>
        <w:shd w:val="clear" w:color="auto" w:fill="FFFFFF"/>
        <w:ind w:hanging="281" w:start="426" w:end="423"/>
        <w:rPr>
          <w:sz w:val="24"/>
          <w:szCs w:val="24"/>
        </w:rPr>
      </w:pPr>
      <w:r>
        <w:rPr>
          <w:color w:val="000000"/>
          <w:spacing w:val="1"/>
          <w:sz w:val="24"/>
          <w:szCs w:val="24"/>
        </w:rPr>
        <w:t xml:space="preserve">oznakował wyroby znakiem CE lub znakiem budowlanym B zgodnie z obowiązującymi </w:t>
      </w:r>
      <w:r>
        <w:rPr>
          <w:color w:val="000000"/>
          <w:spacing w:val="-2"/>
          <w:sz w:val="24"/>
          <w:szCs w:val="24"/>
        </w:rPr>
        <w:t>przepisami,</w:t>
      </w:r>
    </w:p>
    <w:p>
      <w:pPr>
        <w:pStyle w:val="Normal"/>
        <w:numPr>
          <w:ilvl w:val="0"/>
          <w:numId w:val="5"/>
        </w:numPr>
        <w:shd w:val="clear" w:color="auto" w:fill="FFFFFF"/>
        <w:ind w:hanging="281" w:start="426" w:end="423"/>
        <w:rPr>
          <w:sz w:val="24"/>
          <w:szCs w:val="24"/>
        </w:rPr>
      </w:pPr>
      <w:r>
        <w:rPr>
          <w:color w:val="000000"/>
          <w:sz w:val="24"/>
          <w:szCs w:val="24"/>
        </w:rPr>
        <w:t>wydał deklarację zgodności z uznanymi regułami sztuki budowlanej, dla wyrobu umiesz</w:t>
      </w:r>
      <w:r>
        <w:rPr>
          <w:color w:val="000000"/>
          <w:spacing w:val="-1"/>
          <w:sz w:val="24"/>
          <w:szCs w:val="24"/>
        </w:rPr>
        <w:t xml:space="preserve">czonego w określonym przez Komisję Europejską wykazie wyrobów mających niewielkie </w:t>
      </w:r>
      <w:r>
        <w:rPr>
          <w:color w:val="000000"/>
          <w:sz w:val="24"/>
          <w:szCs w:val="24"/>
        </w:rPr>
        <w:t>znaczenie dla zdrowia i bezpieczeństwa,</w:t>
      </w:r>
    </w:p>
    <w:p>
      <w:pPr>
        <w:pStyle w:val="Normal"/>
        <w:numPr>
          <w:ilvl w:val="0"/>
          <w:numId w:val="5"/>
        </w:numPr>
        <w:shd w:val="clear" w:color="auto" w:fill="FFFFFF"/>
        <w:ind w:hanging="281" w:start="426" w:end="423"/>
        <w:rPr>
          <w:sz w:val="24"/>
          <w:szCs w:val="24"/>
        </w:rPr>
      </w:pPr>
      <w:r>
        <w:rPr>
          <w:color w:val="000000"/>
          <w:sz w:val="24"/>
          <w:szCs w:val="24"/>
        </w:rPr>
        <w:t>wydał oświadczenie, że zapewniono zgodność wyrobu budowlanego, dopuszczonego do jednostkowego zastosowania w obiekcie budowlanym, z indywidualną dokumentacją projektową, sporządzoną przez projektanta obiektu lub z nim uzgodnioną.</w:t>
      </w:r>
    </w:p>
    <w:p>
      <w:pPr>
        <w:pStyle w:val="Normal"/>
        <w:shd w:val="clear" w:color="auto" w:fill="FFFFFF"/>
        <w:ind w:start="426" w:end="423"/>
        <w:rPr>
          <w:sz w:val="24"/>
          <w:szCs w:val="24"/>
        </w:rPr>
      </w:pPr>
      <w:r>
        <w:rPr>
          <w:color w:val="000000"/>
          <w:sz w:val="24"/>
          <w:szCs w:val="24"/>
        </w:rPr>
        <w:t xml:space="preserve">Zastosowanie innych wyrobów, wyżej nie wymienionych, jest możliwe pod warunkiem </w:t>
      </w:r>
      <w:r>
        <w:rPr>
          <w:color w:val="000000"/>
          <w:spacing w:val="5"/>
          <w:sz w:val="24"/>
          <w:szCs w:val="24"/>
        </w:rPr>
        <w:t xml:space="preserve">posiadania przez nie dopuszczenia do stosowania w budownictwie i uwzględnienia ich </w:t>
      </w:r>
      <w:r>
        <w:rPr>
          <w:color w:val="000000"/>
          <w:sz w:val="24"/>
          <w:szCs w:val="24"/>
        </w:rPr>
        <w:t>w zatwierdzonym projekcie dotyczącym montażu urządzeń elektroenergetycznych w obiek</w:t>
      </w:r>
      <w:r>
        <w:rPr>
          <w:color w:val="000000"/>
          <w:spacing w:val="-1"/>
          <w:sz w:val="24"/>
          <w:szCs w:val="24"/>
        </w:rPr>
        <w:t>cie budowlanym.</w:t>
      </w:r>
    </w:p>
    <w:p>
      <w:pPr>
        <w:pStyle w:val="Heading2"/>
        <w:numPr>
          <w:ilvl w:val="1"/>
          <w:numId w:val="13"/>
        </w:numPr>
        <w:ind w:hanging="432" w:start="426" w:end="423"/>
        <w:rPr>
          <w:rFonts w:ascii="Arial" w:hAnsi="Arial" w:cs="Arial"/>
          <w:sz w:val="24"/>
          <w:szCs w:val="24"/>
        </w:rPr>
      </w:pPr>
      <w:bookmarkStart w:id="55" w:name="_Toc215176918"/>
      <w:bookmarkStart w:id="56" w:name="_Toc535218195"/>
      <w:bookmarkEnd w:id="56"/>
      <w:r>
        <w:rPr>
          <w:rFonts w:cs="Arial" w:ascii="Arial" w:hAnsi="Arial"/>
          <w:sz w:val="24"/>
          <w:szCs w:val="24"/>
        </w:rPr>
        <w:t>Rodzaje materiałów</w:t>
      </w:r>
      <w:bookmarkEnd w:id="55"/>
    </w:p>
    <w:p>
      <w:pPr>
        <w:pStyle w:val="Normal"/>
        <w:shd w:val="clear" w:color="auto" w:fill="FFFFFF"/>
        <w:ind w:start="426" w:end="423"/>
        <w:rPr>
          <w:sz w:val="24"/>
          <w:szCs w:val="24"/>
        </w:rPr>
      </w:pPr>
      <w:r>
        <w:rPr>
          <w:color w:val="000000"/>
          <w:spacing w:val="-1"/>
          <w:sz w:val="24"/>
          <w:szCs w:val="24"/>
        </w:rPr>
        <w:t xml:space="preserve">Wszystkie materiały do wykonania instalacji elektrycznej powinny odpowiadać wymaganiom </w:t>
      </w:r>
      <w:r>
        <w:rPr>
          <w:color w:val="000000"/>
          <w:sz w:val="24"/>
          <w:szCs w:val="24"/>
        </w:rPr>
        <w:t>zawartym w dokumentach odniesienia (normach, aprobatach technicznych).</w:t>
      </w:r>
    </w:p>
    <w:p>
      <w:pPr>
        <w:pStyle w:val="Heading3"/>
        <w:numPr>
          <w:ilvl w:val="2"/>
          <w:numId w:val="13"/>
        </w:numPr>
        <w:ind w:hanging="504" w:start="426" w:end="423"/>
        <w:rPr>
          <w:rFonts w:ascii="Arial" w:hAnsi="Arial" w:cs="Arial"/>
        </w:rPr>
      </w:pPr>
      <w:bookmarkStart w:id="57" w:name="_Toc215176919"/>
      <w:bookmarkStart w:id="58" w:name="_Toc535218196"/>
      <w:bookmarkEnd w:id="58"/>
      <w:r>
        <w:rPr>
          <w:rFonts w:cs="Arial" w:ascii="Arial" w:hAnsi="Arial"/>
        </w:rPr>
        <w:t>Kable i przewody</w:t>
      </w:r>
      <w:bookmarkEnd w:id="57"/>
    </w:p>
    <w:p>
      <w:pPr>
        <w:pStyle w:val="Normal"/>
        <w:shd w:val="clear" w:color="auto" w:fill="FFFFFF"/>
        <w:ind w:firstLine="282" w:start="426" w:end="423"/>
        <w:rPr>
          <w:sz w:val="24"/>
          <w:szCs w:val="24"/>
        </w:rPr>
      </w:pPr>
      <w:r>
        <w:rPr>
          <w:color w:val="000000"/>
          <w:spacing w:val="-1"/>
          <w:sz w:val="24"/>
          <w:szCs w:val="24"/>
        </w:rPr>
        <w:t xml:space="preserve">Zaleca się, aby kable energetyczne układane w budynkach posiadały izolację wg wymogów </w:t>
      </w:r>
      <w:r>
        <w:rPr>
          <w:color w:val="000000"/>
          <w:sz w:val="24"/>
          <w:szCs w:val="24"/>
        </w:rPr>
        <w:t>dla rodzaju pomieszczenia i powłokę ochronną.</w:t>
      </w:r>
    </w:p>
    <w:p>
      <w:pPr>
        <w:pStyle w:val="Normal"/>
        <w:shd w:val="clear" w:color="auto" w:fill="FFFFFF"/>
        <w:ind w:start="426" w:end="423"/>
        <w:rPr>
          <w:sz w:val="24"/>
          <w:szCs w:val="24"/>
        </w:rPr>
      </w:pPr>
      <w:r>
        <w:rPr>
          <w:color w:val="000000"/>
          <w:sz w:val="24"/>
          <w:szCs w:val="24"/>
        </w:rPr>
        <w:t xml:space="preserve">Jako materiały przewodzące można stosować miedź i aluminium, liczba żył: </w:t>
      </w:r>
      <w:r>
        <w:rPr>
          <w:color w:val="000000"/>
          <w:spacing w:val="15"/>
          <w:sz w:val="24"/>
          <w:szCs w:val="24"/>
        </w:rPr>
        <w:t>1,3,4,</w:t>
      </w:r>
      <w:r>
        <w:rPr>
          <w:color w:val="000000"/>
          <w:sz w:val="24"/>
          <w:szCs w:val="24"/>
        </w:rPr>
        <w:t xml:space="preserve"> 5.</w:t>
      </w:r>
    </w:p>
    <w:p>
      <w:pPr>
        <w:pStyle w:val="Normal"/>
        <w:shd w:val="clear" w:color="auto" w:fill="FFFFFF"/>
        <w:ind w:start="426" w:end="423"/>
        <w:rPr>
          <w:sz w:val="24"/>
          <w:szCs w:val="24"/>
        </w:rPr>
      </w:pPr>
      <w:r>
        <w:rPr>
          <w:color w:val="000000"/>
          <w:sz w:val="24"/>
          <w:szCs w:val="24"/>
        </w:rPr>
        <w:t xml:space="preserve">Przewody instalacyjne należy stosować izolowane lub z izolacją i powłoką ochronną do układania na stałe, w osłonach lub bez, klejonych bezpośrednio do podłoża lub układanych </w:t>
      </w:r>
      <w:r>
        <w:rPr>
          <w:color w:val="000000"/>
          <w:spacing w:val="-1"/>
          <w:sz w:val="24"/>
          <w:szCs w:val="24"/>
        </w:rPr>
        <w:t>na linkach nośnych, a także natynkowo, wtynkowo lub pod tynkiem; ilość żył zależy od przeznaczenia danego przewodu.</w:t>
      </w:r>
    </w:p>
    <w:p>
      <w:pPr>
        <w:pStyle w:val="Normal"/>
        <w:shd w:val="clear" w:color="auto" w:fill="FFFFFF"/>
        <w:ind w:start="426" w:end="423"/>
        <w:rPr>
          <w:sz w:val="24"/>
          <w:szCs w:val="24"/>
        </w:rPr>
      </w:pPr>
      <w:r>
        <w:rPr>
          <w:color w:val="000000"/>
          <w:sz w:val="24"/>
          <w:szCs w:val="24"/>
        </w:rPr>
        <w:t>Napięcie znamionowe izolacji 750V.</w:t>
      </w:r>
    </w:p>
    <w:p>
      <w:pPr>
        <w:pStyle w:val="Normal"/>
        <w:shd w:val="clear" w:color="auto" w:fill="FFFFFF"/>
        <w:ind w:start="426" w:end="423"/>
        <w:rPr>
          <w:sz w:val="24"/>
          <w:szCs w:val="24"/>
        </w:rPr>
      </w:pPr>
      <w:r>
        <w:rPr>
          <w:color w:val="000000"/>
          <w:spacing w:val="-1"/>
          <w:sz w:val="24"/>
          <w:szCs w:val="24"/>
        </w:rPr>
        <w:t>Jako materiały przewodzące można stosować miedź i aluminium, przy czym dla przekroju żył do 10 mm</w:t>
      </w:r>
      <w:r>
        <w:rPr>
          <w:color w:val="000000"/>
          <w:spacing w:val="-1"/>
          <w:sz w:val="24"/>
          <w:szCs w:val="24"/>
          <w:vertAlign w:val="superscript"/>
        </w:rPr>
        <w:t>2</w:t>
      </w:r>
      <w:r>
        <w:rPr>
          <w:color w:val="000000"/>
          <w:spacing w:val="-1"/>
          <w:sz w:val="24"/>
          <w:szCs w:val="24"/>
        </w:rPr>
        <w:t xml:space="preserve"> należy stosować obowiązkowo przewody miedziane.</w:t>
      </w:r>
    </w:p>
    <w:p>
      <w:pPr>
        <w:pStyle w:val="Heading3"/>
        <w:numPr>
          <w:ilvl w:val="2"/>
          <w:numId w:val="13"/>
        </w:numPr>
        <w:ind w:hanging="504" w:start="426" w:end="423"/>
        <w:rPr>
          <w:rFonts w:ascii="Arial" w:hAnsi="Arial" w:cs="Arial"/>
        </w:rPr>
      </w:pPr>
      <w:bookmarkStart w:id="59" w:name="_Toc215176920"/>
      <w:bookmarkStart w:id="60" w:name="_Toc535218197"/>
      <w:bookmarkEnd w:id="60"/>
      <w:r>
        <w:rPr>
          <w:rFonts w:cs="Arial" w:ascii="Arial" w:hAnsi="Arial"/>
        </w:rPr>
        <w:t>Osprzęt instalacyjny do kabli i przewodów</w:t>
      </w:r>
      <w:bookmarkEnd w:id="59"/>
    </w:p>
    <w:p>
      <w:pPr>
        <w:pStyle w:val="Normal"/>
        <w:shd w:val="clear" w:color="auto" w:fill="FFFFFF"/>
        <w:ind w:firstLine="282" w:start="426" w:end="423"/>
        <w:rPr>
          <w:sz w:val="24"/>
          <w:szCs w:val="24"/>
        </w:rPr>
      </w:pPr>
      <w:r>
        <w:rPr>
          <w:b/>
          <w:bCs/>
          <w:color w:val="000000"/>
          <w:sz w:val="24"/>
          <w:szCs w:val="24"/>
        </w:rPr>
        <w:t xml:space="preserve">Przepusty kablowe i osłony krawędzi </w:t>
      </w:r>
      <w:r>
        <w:rPr>
          <w:color w:val="000000"/>
          <w:sz w:val="24"/>
          <w:szCs w:val="24"/>
        </w:rPr>
        <w:t xml:space="preserve">- Kable i przewody układane bezpośrednio na podłodze należy chronić poprzez stosowanie </w:t>
      </w:r>
      <w:r>
        <w:rPr>
          <w:color w:val="000000"/>
          <w:spacing w:val="-1"/>
          <w:sz w:val="24"/>
          <w:szCs w:val="24"/>
        </w:rPr>
        <w:t>osłon (rury instalacyjne, listwy podłogowe).</w:t>
      </w:r>
    </w:p>
    <w:p>
      <w:pPr>
        <w:pStyle w:val="Normal"/>
        <w:shd w:val="clear" w:color="auto" w:fill="FFFFFF"/>
        <w:ind w:firstLine="282" w:start="426" w:end="423"/>
        <w:rPr>
          <w:sz w:val="24"/>
          <w:szCs w:val="24"/>
        </w:rPr>
      </w:pPr>
      <w:r>
        <w:rPr>
          <w:b/>
          <w:bCs/>
          <w:color w:val="000000"/>
          <w:spacing w:val="2"/>
          <w:sz w:val="24"/>
          <w:szCs w:val="24"/>
        </w:rPr>
        <w:t xml:space="preserve">Rury instalacyjne wraz z osprzętem </w:t>
      </w:r>
      <w:r>
        <w:rPr>
          <w:color w:val="000000"/>
          <w:spacing w:val="2"/>
          <w:sz w:val="24"/>
          <w:szCs w:val="24"/>
        </w:rPr>
        <w:t xml:space="preserve">(rozgałęzienia, tuleje, łączniki, uchwyty) wykonane z tworzyw sztucznych albo metalowe, głównie stalowe - zasadą jest używanie materiałów </w:t>
      </w:r>
      <w:r>
        <w:rPr>
          <w:color w:val="000000"/>
          <w:sz w:val="24"/>
          <w:szCs w:val="24"/>
        </w:rPr>
        <w:t>o wytrzymałości elektrycznej powyżej 2 kV, niepalnych lub trudnozapalnych, które nie pod</w:t>
      </w:r>
      <w:r>
        <w:rPr>
          <w:color w:val="000000"/>
          <w:spacing w:val="-1"/>
          <w:sz w:val="24"/>
          <w:szCs w:val="24"/>
        </w:rPr>
        <w:t xml:space="preserve">trzymują płomienia, a wydzielane przez rury w wysokiej temperaturze gazy nie są szkodliwe dla człowieka. Rurowe instalacje wnętrzowe powinny być odporne na temperaturę otoczenia </w:t>
      </w:r>
      <w:r>
        <w:rPr>
          <w:color w:val="000000"/>
          <w:spacing w:val="3"/>
          <w:sz w:val="24"/>
          <w:szCs w:val="24"/>
        </w:rPr>
        <w:t>w zakresie od - 5 do + 60</w:t>
      </w:r>
      <w:r>
        <w:rPr>
          <w:color w:val="000000"/>
          <w:sz w:val="24"/>
          <w:szCs w:val="24"/>
          <w:vertAlign w:val="superscript"/>
        </w:rPr>
        <w:t>°</w:t>
      </w:r>
      <w:r>
        <w:rPr>
          <w:color w:val="000000"/>
          <w:spacing w:val="3"/>
          <w:sz w:val="24"/>
          <w:szCs w:val="24"/>
        </w:rPr>
        <w:t xml:space="preserve">C, a ze względu na wytrzymałość, wymagają stosowania rur </w:t>
      </w:r>
      <w:r>
        <w:rPr>
          <w:color w:val="000000"/>
          <w:spacing w:val="-1"/>
          <w:sz w:val="24"/>
          <w:szCs w:val="24"/>
        </w:rPr>
        <w:t xml:space="preserve">z tworzyw sztucznych lekkich i średnich. </w:t>
      </w:r>
    </w:p>
    <w:p>
      <w:pPr>
        <w:pStyle w:val="Normal"/>
        <w:shd w:val="clear" w:color="auto" w:fill="FFFFFF"/>
        <w:ind w:firstLine="282" w:start="426" w:end="423"/>
        <w:rPr>
          <w:sz w:val="24"/>
          <w:szCs w:val="24"/>
        </w:rPr>
      </w:pPr>
      <w:r>
        <w:rPr>
          <w:b/>
          <w:bCs/>
          <w:color w:val="000000"/>
          <w:spacing w:val="-1"/>
          <w:sz w:val="24"/>
          <w:szCs w:val="24"/>
        </w:rPr>
        <w:t>Systemy mocujące przewody, kable, instalacje wiązkowe i osprzęt</w:t>
      </w:r>
    </w:p>
    <w:p>
      <w:pPr>
        <w:pStyle w:val="Normal"/>
        <w:shd w:val="clear" w:color="auto" w:fill="FFFFFF"/>
        <w:ind w:start="426" w:end="423"/>
        <w:rPr>
          <w:sz w:val="24"/>
          <w:szCs w:val="24"/>
        </w:rPr>
      </w:pPr>
      <w:r>
        <w:rPr>
          <w:b/>
          <w:bCs/>
          <w:color w:val="000000"/>
          <w:sz w:val="24"/>
          <w:szCs w:val="24"/>
        </w:rPr>
        <w:t xml:space="preserve">Uchwyty do mocowania kabli i przewodów </w:t>
      </w:r>
      <w:r>
        <w:rPr>
          <w:color w:val="000000"/>
          <w:sz w:val="24"/>
          <w:szCs w:val="24"/>
        </w:rPr>
        <w:t>- klinowane w otworze z elementem trzyma</w:t>
      </w:r>
      <w:r>
        <w:rPr>
          <w:color w:val="000000"/>
          <w:spacing w:val="-1"/>
          <w:sz w:val="24"/>
          <w:szCs w:val="24"/>
        </w:rPr>
        <w:t>jącym stałym lub zaciskowym, wbijane i mocowane do innych elementów np. paski zacisko</w:t>
      </w:r>
      <w:r>
        <w:rPr>
          <w:color w:val="000000"/>
          <w:sz w:val="24"/>
          <w:szCs w:val="24"/>
        </w:rPr>
        <w:t xml:space="preserve">we lub uchwyty kablowe przykręcane; stosowane głównie z tworzyw sztucznych (niektóre </w:t>
      </w:r>
      <w:r>
        <w:rPr>
          <w:color w:val="000000"/>
          <w:spacing w:val="-1"/>
          <w:sz w:val="24"/>
          <w:szCs w:val="24"/>
        </w:rPr>
        <w:t>elementy mogą być wykonane także z metali).</w:t>
      </w:r>
    </w:p>
    <w:p>
      <w:pPr>
        <w:pStyle w:val="Normal"/>
        <w:shd w:val="clear" w:color="auto" w:fill="FFFFFF"/>
        <w:ind w:firstLine="282" w:start="426" w:end="423"/>
        <w:rPr>
          <w:sz w:val="24"/>
          <w:szCs w:val="24"/>
        </w:rPr>
      </w:pPr>
      <w:r>
        <w:rPr>
          <w:b/>
          <w:bCs/>
          <w:color w:val="000000"/>
          <w:spacing w:val="-1"/>
          <w:sz w:val="24"/>
          <w:szCs w:val="24"/>
        </w:rPr>
        <w:t xml:space="preserve">Uchwyty do rur instalacyjnych </w:t>
      </w:r>
      <w:r>
        <w:rPr>
          <w:color w:val="000000"/>
          <w:spacing w:val="-1"/>
          <w:sz w:val="24"/>
          <w:szCs w:val="24"/>
        </w:rPr>
        <w:t xml:space="preserve">- wykonane z tworzyw i w typowielkościach takich jak rury </w:t>
      </w:r>
      <w:r>
        <w:rPr>
          <w:color w:val="000000"/>
          <w:sz w:val="24"/>
          <w:szCs w:val="24"/>
        </w:rPr>
        <w:t>instalacyjne - mocowanie rury poprzez wciskanie lub przykręcanie (otwarte lub zamykane).</w:t>
      </w:r>
    </w:p>
    <w:p>
      <w:pPr>
        <w:pStyle w:val="Normal"/>
        <w:shd w:val="clear" w:color="auto" w:fill="FFFFFF"/>
        <w:ind w:start="426" w:end="423"/>
        <w:rPr>
          <w:sz w:val="24"/>
          <w:szCs w:val="24"/>
        </w:rPr>
      </w:pPr>
      <w:r>
        <w:rPr>
          <w:b/>
          <w:bCs/>
          <w:color w:val="000000"/>
          <w:sz w:val="24"/>
          <w:szCs w:val="24"/>
        </w:rPr>
        <w:t xml:space="preserve">Puszki elektroinstalacyjne </w:t>
      </w:r>
      <w:r>
        <w:rPr>
          <w:color w:val="000000"/>
          <w:sz w:val="24"/>
          <w:szCs w:val="24"/>
        </w:rPr>
        <w:t xml:space="preserve">mogą być standardowe i do ścian pustych, służą do montażu </w:t>
      </w:r>
      <w:r>
        <w:rPr>
          <w:color w:val="000000"/>
          <w:spacing w:val="-1"/>
          <w:sz w:val="24"/>
          <w:szCs w:val="24"/>
        </w:rPr>
        <w:t>gniazd i</w:t>
      </w:r>
      <w:r>
        <w:rPr>
          <w:b/>
          <w:bCs/>
          <w:color w:val="000000"/>
          <w:spacing w:val="-1"/>
          <w:sz w:val="24"/>
          <w:szCs w:val="24"/>
        </w:rPr>
        <w:t xml:space="preserve"> </w:t>
      </w:r>
      <w:r>
        <w:rPr>
          <w:color w:val="000000"/>
          <w:spacing w:val="-1"/>
          <w:sz w:val="24"/>
          <w:szCs w:val="24"/>
        </w:rPr>
        <w:t>łączników instalacyjnych, występują jako łączące, przelotowe, odgałęźne lub podło</w:t>
      </w:r>
      <w:r>
        <w:rPr>
          <w:color w:val="000000"/>
          <w:sz w:val="24"/>
          <w:szCs w:val="24"/>
        </w:rPr>
        <w:t xml:space="preserve">gowe i sufitowe. Wykonane są z materiałów o wytrzymałości elektrycznej powyżej 2 kV, niepalnych lub trudnozapalnych, które nie podtrzymują płomienia, a wydzielane w wysokiej temperaturze przez puszkę gazy nie są szkodliwe dla człowieka, jednocześnie zapewniają </w:t>
      </w:r>
      <w:r>
        <w:rPr>
          <w:color w:val="000000"/>
          <w:spacing w:val="-1"/>
          <w:sz w:val="24"/>
          <w:szCs w:val="24"/>
        </w:rPr>
        <w:t>stopień ochrony minimalny IP 2X. Dobór typu puszki uzależniony jest od systemu instalacyj</w:t>
      </w:r>
      <w:r>
        <w:rPr>
          <w:color w:val="000000"/>
          <w:sz w:val="24"/>
          <w:szCs w:val="24"/>
        </w:rPr>
        <w:t xml:space="preserve">nego. Ze względu na system montażu - występują puszki natynkowe, podtynkowe, natynkowo - wtynkowe, podłogowe. W zależności od przeznaczenia puszki muszą spełniać następujące wymagania co do ich wielkości: puszka sprzętowa </w:t>
      </w:r>
      <w:r>
        <w:rPr>
          <w:rFonts w:eastAsia="Symbol"/>
          <w:color w:val="000000"/>
          <w:spacing w:val="6"/>
          <w:sz w:val="24"/>
          <w:szCs w:val="24"/>
        </w:rPr>
        <w:t></w:t>
      </w:r>
      <w:r>
        <w:rPr>
          <w:color w:val="000000"/>
          <w:sz w:val="24"/>
          <w:szCs w:val="24"/>
        </w:rPr>
        <w:t xml:space="preserve"> 60 mm, sufitowa lub końco</w:t>
      </w:r>
      <w:r>
        <w:rPr>
          <w:color w:val="000000"/>
          <w:spacing w:val="3"/>
          <w:sz w:val="24"/>
          <w:szCs w:val="24"/>
        </w:rPr>
        <w:t xml:space="preserve">wa </w:t>
      </w:r>
      <w:r>
        <w:rPr>
          <w:rFonts w:eastAsia="Symbol"/>
          <w:color w:val="000000"/>
          <w:spacing w:val="6"/>
          <w:sz w:val="24"/>
          <w:szCs w:val="24"/>
        </w:rPr>
        <w:t></w:t>
      </w:r>
      <w:r>
        <w:rPr>
          <w:color w:val="000000"/>
          <w:spacing w:val="3"/>
          <w:sz w:val="24"/>
          <w:szCs w:val="24"/>
        </w:rPr>
        <w:t xml:space="preserve"> 60 mm lub 60x60 mm, rozgałęźna lub przelotowa </w:t>
      </w:r>
      <w:r>
        <w:rPr>
          <w:rFonts w:eastAsia="Symbol"/>
          <w:color w:val="000000"/>
          <w:spacing w:val="6"/>
          <w:sz w:val="24"/>
          <w:szCs w:val="24"/>
        </w:rPr>
        <w:t></w:t>
      </w:r>
      <w:r>
        <w:rPr>
          <w:color w:val="000000"/>
          <w:spacing w:val="3"/>
          <w:sz w:val="24"/>
          <w:szCs w:val="24"/>
        </w:rPr>
        <w:t xml:space="preserve"> 70 mm lub 75 x 75 mm - dwu-</w:t>
      </w:r>
      <w:r>
        <w:rPr>
          <w:color w:val="000000"/>
          <w:spacing w:val="-1"/>
          <w:sz w:val="24"/>
          <w:szCs w:val="24"/>
        </w:rPr>
        <w:t>trzy- lub czterowejściowa dla przewodów o przekroju żyły do 6 mm</w:t>
      </w:r>
      <w:r>
        <w:rPr>
          <w:color w:val="000000"/>
          <w:spacing w:val="-1"/>
          <w:sz w:val="24"/>
          <w:szCs w:val="24"/>
          <w:vertAlign w:val="superscript"/>
        </w:rPr>
        <w:t>2</w:t>
      </w:r>
      <w:r>
        <w:rPr>
          <w:color w:val="000000"/>
          <w:spacing w:val="-1"/>
          <w:sz w:val="24"/>
          <w:szCs w:val="24"/>
        </w:rPr>
        <w:t>. Puszki elektroinstala</w:t>
      </w:r>
      <w:r>
        <w:rPr>
          <w:color w:val="000000"/>
          <w:sz w:val="24"/>
          <w:szCs w:val="24"/>
        </w:rPr>
        <w:t>cyjne do montażu gniazd i łączników instalacyjnych powinny być przystosowane do moco</w:t>
      </w:r>
      <w:r>
        <w:rPr>
          <w:color w:val="000000"/>
          <w:spacing w:val="-1"/>
          <w:sz w:val="24"/>
          <w:szCs w:val="24"/>
        </w:rPr>
        <w:t>wania osprzętu za pomocą „pazurków" i / lub wkrętów.</w:t>
      </w:r>
    </w:p>
    <w:p>
      <w:pPr>
        <w:pStyle w:val="Normal"/>
        <w:shd w:val="clear" w:color="auto" w:fill="FFFFFF"/>
        <w:ind w:firstLine="282" w:start="426" w:end="423"/>
        <w:rPr>
          <w:sz w:val="24"/>
          <w:szCs w:val="24"/>
        </w:rPr>
      </w:pPr>
      <w:r>
        <w:rPr>
          <w:b/>
          <w:bCs/>
          <w:color w:val="000000"/>
          <w:spacing w:val="1"/>
          <w:sz w:val="24"/>
          <w:szCs w:val="24"/>
        </w:rPr>
        <w:t>Korytka kablowe -</w:t>
      </w:r>
      <w:r>
        <w:rPr>
          <w:color w:val="000000"/>
          <w:spacing w:val="-1"/>
          <w:sz w:val="24"/>
          <w:szCs w:val="24"/>
        </w:rPr>
        <w:t xml:space="preserve"> Przy wykonywaniu tras prowadzenia kabli i przewodów zaleca się stosowanie systemowych korytek metalowych, ocynkowanych. Korytka kablowe i konstrukcje wsporcze powinny być dostosowane do ilości i ciężaru kabli i przewodów, które są przewidziane dla danej trasy. Konstrukcje wsporcze powinny być dostosowane do sposobu montażu na obiekcie. Listwy elektroinstalacyjne wykonane z tworzyw sztucznych z twardego PVC, nie rozprzestrzeniającego płomienia, do średnich narażeń mechanicznych i właściwościach izolacyjnych spełniające wymagania PN-IEC 1084. Wielkość ich powinna być dostosowana do ilości i średnic przewodów, które są przewidziane dla danej trasy. </w:t>
      </w:r>
    </w:p>
    <w:p>
      <w:pPr>
        <w:pStyle w:val="Normal"/>
        <w:shd w:val="clear" w:color="auto" w:fill="FFFFFF"/>
        <w:ind w:firstLine="282" w:start="426" w:end="423"/>
        <w:rPr>
          <w:sz w:val="24"/>
          <w:szCs w:val="24"/>
        </w:rPr>
      </w:pPr>
      <w:r>
        <w:rPr>
          <w:b/>
          <w:bCs/>
          <w:color w:val="000000"/>
          <w:spacing w:val="1"/>
          <w:sz w:val="24"/>
          <w:szCs w:val="24"/>
        </w:rPr>
        <w:t xml:space="preserve">Pozostały osprzęt </w:t>
      </w:r>
      <w:r>
        <w:rPr>
          <w:color w:val="000000"/>
          <w:spacing w:val="1"/>
          <w:sz w:val="24"/>
          <w:szCs w:val="24"/>
        </w:rPr>
        <w:t xml:space="preserve">- ułatwia montaż i zwiększa bezpieczeństwo obsługi; wyróżnić można </w:t>
      </w:r>
      <w:r>
        <w:rPr>
          <w:color w:val="000000"/>
          <w:spacing w:val="-1"/>
          <w:sz w:val="24"/>
          <w:szCs w:val="24"/>
        </w:rPr>
        <w:t>kilka grup materiałów: oznaczniki przewodów, dławnice, złączki i szyny, zaciski ochronne itp.</w:t>
      </w:r>
    </w:p>
    <w:p>
      <w:pPr>
        <w:pStyle w:val="Normal"/>
        <w:shd w:val="clear" w:color="auto" w:fill="FFFFFF"/>
        <w:ind w:start="426" w:end="423"/>
        <w:rPr>
          <w:color w:val="000000"/>
          <w:spacing w:val="-1"/>
          <w:sz w:val="24"/>
          <w:szCs w:val="24"/>
        </w:rPr>
      </w:pPr>
      <w:r>
        <w:rPr>
          <w:color w:val="000000"/>
          <w:spacing w:val="-1"/>
          <w:sz w:val="24"/>
          <w:szCs w:val="24"/>
        </w:rPr>
      </w:r>
    </w:p>
    <w:p>
      <w:pPr>
        <w:pStyle w:val="Heading3"/>
        <w:numPr>
          <w:ilvl w:val="2"/>
          <w:numId w:val="13"/>
        </w:numPr>
        <w:ind w:hanging="504" w:start="426" w:end="423"/>
        <w:rPr>
          <w:rFonts w:ascii="Arial" w:hAnsi="Arial" w:cs="Arial"/>
        </w:rPr>
      </w:pPr>
      <w:bookmarkStart w:id="61" w:name="_Toc215176921"/>
      <w:bookmarkStart w:id="62" w:name="_Toc535218198"/>
      <w:bookmarkEnd w:id="62"/>
      <w:r>
        <w:rPr>
          <w:rFonts w:cs="Arial" w:ascii="Arial" w:hAnsi="Arial"/>
        </w:rPr>
        <w:t>Osprzęt instalacyjny</w:t>
      </w:r>
      <w:bookmarkEnd w:id="61"/>
    </w:p>
    <w:p>
      <w:pPr>
        <w:pStyle w:val="Normal"/>
        <w:shd w:val="clear" w:color="auto" w:fill="FFFFFF"/>
        <w:ind w:firstLine="282" w:start="426" w:end="423"/>
        <w:rPr>
          <w:sz w:val="24"/>
          <w:szCs w:val="24"/>
        </w:rPr>
      </w:pPr>
      <w:r>
        <w:rPr>
          <w:color w:val="000000"/>
          <w:sz w:val="24"/>
          <w:szCs w:val="24"/>
        </w:rPr>
        <w:t>Łączniki</w:t>
      </w:r>
      <w:r>
        <w:rPr>
          <w:b/>
          <w:bCs/>
          <w:color w:val="000000"/>
          <w:sz w:val="24"/>
          <w:szCs w:val="24"/>
        </w:rPr>
        <w:t xml:space="preserve"> </w:t>
      </w:r>
      <w:r>
        <w:rPr>
          <w:color w:val="000000"/>
          <w:sz w:val="24"/>
          <w:szCs w:val="24"/>
        </w:rPr>
        <w:t>ogólnego przeznaczenia wykonane dla potrzeb instalacji podtynkowych, natyn</w:t>
      </w:r>
      <w:r>
        <w:rPr>
          <w:color w:val="000000"/>
          <w:spacing w:val="-1"/>
          <w:sz w:val="24"/>
          <w:szCs w:val="24"/>
        </w:rPr>
        <w:t>kowych i natynkowo-wtynkowych:</w:t>
      </w:r>
    </w:p>
    <w:p>
      <w:pPr>
        <w:pStyle w:val="Normal"/>
        <w:numPr>
          <w:ilvl w:val="0"/>
          <w:numId w:val="6"/>
        </w:numPr>
        <w:shd w:val="clear" w:color="auto" w:fill="FFFFFF"/>
        <w:ind w:hanging="274" w:start="426" w:end="423"/>
        <w:rPr>
          <w:sz w:val="24"/>
          <w:szCs w:val="24"/>
        </w:rPr>
      </w:pPr>
      <w:r>
        <w:rPr>
          <w:color w:val="000000"/>
          <w:spacing w:val="7"/>
          <w:sz w:val="24"/>
          <w:szCs w:val="24"/>
        </w:rPr>
        <w:t xml:space="preserve">Łączniki podtynkowe powinny być przystosowane do instalowania w puszkach </w:t>
      </w:r>
      <w:r>
        <w:rPr>
          <w:rFonts w:eastAsia="Symbol"/>
          <w:color w:val="000000"/>
          <w:spacing w:val="6"/>
          <w:sz w:val="24"/>
          <w:szCs w:val="24"/>
        </w:rPr>
        <w:t>fi</w:t>
      </w:r>
      <w:r>
        <w:rPr>
          <w:color w:val="000000"/>
          <w:spacing w:val="3"/>
          <w:sz w:val="24"/>
          <w:szCs w:val="24"/>
        </w:rPr>
        <w:t xml:space="preserve"> 60 mm za pomocą wkrętów lub „pazurków".</w:t>
      </w:r>
    </w:p>
    <w:p>
      <w:pPr>
        <w:pStyle w:val="Normal"/>
        <w:numPr>
          <w:ilvl w:val="0"/>
          <w:numId w:val="6"/>
        </w:numPr>
        <w:shd w:val="clear" w:color="auto" w:fill="FFFFFF"/>
        <w:ind w:hanging="274" w:start="426" w:end="423"/>
        <w:rPr>
          <w:sz w:val="24"/>
          <w:szCs w:val="24"/>
        </w:rPr>
      </w:pPr>
      <w:r>
        <w:rPr>
          <w:color w:val="000000"/>
          <w:sz w:val="24"/>
          <w:szCs w:val="24"/>
        </w:rPr>
        <w:t>Łączniki natynkowe i natynkowo-wtynkowe przygotowane są do instalowania bezpo</w:t>
      </w:r>
      <w:r>
        <w:rPr>
          <w:color w:val="000000"/>
          <w:spacing w:val="-1"/>
          <w:sz w:val="24"/>
          <w:szCs w:val="24"/>
        </w:rPr>
        <w:t>średnio na podłożu (ścianie) za pomocą wkrętów lub przyklejane.</w:t>
      </w:r>
    </w:p>
    <w:p>
      <w:pPr>
        <w:pStyle w:val="Normal"/>
        <w:numPr>
          <w:ilvl w:val="0"/>
          <w:numId w:val="6"/>
        </w:numPr>
        <w:shd w:val="clear" w:color="auto" w:fill="FFFFFF"/>
        <w:ind w:hanging="274" w:start="426" w:end="423"/>
        <w:rPr>
          <w:sz w:val="24"/>
          <w:szCs w:val="24"/>
        </w:rPr>
      </w:pPr>
      <w:r>
        <w:rPr>
          <w:color w:val="000000"/>
          <w:spacing w:val="2"/>
          <w:sz w:val="24"/>
          <w:szCs w:val="24"/>
        </w:rPr>
        <w:t>Zaciski do łączenia przewodów winny umożliwiać wprowadzenie przewodu o prze</w:t>
      </w:r>
      <w:r>
        <w:rPr>
          <w:color w:val="000000"/>
          <w:spacing w:val="-5"/>
          <w:sz w:val="24"/>
          <w:szCs w:val="24"/>
        </w:rPr>
        <w:t>kroju 1,0÷2,5 mm</w:t>
      </w:r>
      <w:r>
        <w:rPr>
          <w:color w:val="000000"/>
          <w:spacing w:val="-5"/>
          <w:sz w:val="24"/>
          <w:szCs w:val="24"/>
          <w:vertAlign w:val="superscript"/>
        </w:rPr>
        <w:t>2</w:t>
      </w:r>
      <w:r>
        <w:rPr>
          <w:color w:val="000000"/>
          <w:spacing w:val="-5"/>
          <w:sz w:val="24"/>
          <w:szCs w:val="24"/>
        </w:rPr>
        <w:t>.</w:t>
      </w:r>
    </w:p>
    <w:p>
      <w:pPr>
        <w:pStyle w:val="Normal"/>
        <w:numPr>
          <w:ilvl w:val="0"/>
          <w:numId w:val="6"/>
        </w:numPr>
        <w:shd w:val="clear" w:color="auto" w:fill="FFFFFF"/>
        <w:ind w:hanging="274" w:start="426" w:end="423"/>
        <w:rPr>
          <w:sz w:val="24"/>
          <w:szCs w:val="24"/>
        </w:rPr>
      </w:pPr>
      <w:r>
        <w:rPr>
          <w:color w:val="000000"/>
          <w:sz w:val="24"/>
          <w:szCs w:val="24"/>
        </w:rPr>
        <w:t>Obudowy łączników powinny być wykonane z materiałów niepalnych lub niepodtrzy</w:t>
      </w:r>
      <w:r>
        <w:rPr>
          <w:color w:val="000000"/>
          <w:spacing w:val="-1"/>
          <w:sz w:val="24"/>
          <w:szCs w:val="24"/>
        </w:rPr>
        <w:t>mujących płomienia.</w:t>
      </w:r>
    </w:p>
    <w:p>
      <w:pPr>
        <w:pStyle w:val="Normal"/>
        <w:numPr>
          <w:ilvl w:val="0"/>
          <w:numId w:val="6"/>
        </w:numPr>
        <w:shd w:val="clear" w:color="auto" w:fill="FFFFFF"/>
        <w:ind w:start="426" w:end="423"/>
        <w:rPr>
          <w:sz w:val="24"/>
          <w:szCs w:val="24"/>
        </w:rPr>
      </w:pPr>
      <w:r>
        <w:rPr>
          <w:color w:val="000000"/>
          <w:spacing w:val="-1"/>
          <w:sz w:val="24"/>
          <w:szCs w:val="24"/>
        </w:rPr>
        <w:t>Podstawowe dane techniczne:</w:t>
      </w:r>
    </w:p>
    <w:p>
      <w:pPr>
        <w:pStyle w:val="Normal"/>
        <w:numPr>
          <w:ilvl w:val="0"/>
          <w:numId w:val="7"/>
        </w:numPr>
        <w:shd w:val="clear" w:color="auto" w:fill="FFFFFF"/>
        <w:ind w:hanging="283" w:start="426" w:end="423"/>
        <w:rPr>
          <w:sz w:val="24"/>
          <w:szCs w:val="24"/>
        </w:rPr>
      </w:pPr>
      <w:r>
        <w:rPr>
          <w:color w:val="000000"/>
          <w:spacing w:val="-1"/>
          <w:sz w:val="24"/>
          <w:szCs w:val="24"/>
        </w:rPr>
        <w:t>napięcie znamionowe: 250V; 50 Hz,</w:t>
      </w:r>
    </w:p>
    <w:p>
      <w:pPr>
        <w:pStyle w:val="Normal"/>
        <w:numPr>
          <w:ilvl w:val="0"/>
          <w:numId w:val="7"/>
        </w:numPr>
        <w:shd w:val="clear" w:color="auto" w:fill="FFFFFF"/>
        <w:ind w:hanging="283" w:start="426" w:end="423"/>
        <w:rPr>
          <w:sz w:val="24"/>
          <w:szCs w:val="24"/>
        </w:rPr>
      </w:pPr>
      <w:r>
        <w:rPr>
          <w:color w:val="000000"/>
          <w:spacing w:val="-1"/>
          <w:sz w:val="24"/>
          <w:szCs w:val="24"/>
        </w:rPr>
        <w:t>prąd znamionowy: do 10 A,</w:t>
      </w:r>
    </w:p>
    <w:p>
      <w:pPr>
        <w:pStyle w:val="Normal"/>
        <w:numPr>
          <w:ilvl w:val="0"/>
          <w:numId w:val="7"/>
        </w:numPr>
        <w:shd w:val="clear" w:color="auto" w:fill="FFFFFF"/>
        <w:ind w:hanging="283" w:start="426" w:end="423"/>
        <w:rPr>
          <w:sz w:val="24"/>
          <w:szCs w:val="24"/>
        </w:rPr>
      </w:pPr>
      <w:r>
        <w:rPr>
          <w:color w:val="000000"/>
          <w:spacing w:val="-1"/>
          <w:sz w:val="24"/>
          <w:szCs w:val="24"/>
        </w:rPr>
        <w:t>stopień ochrony w wykonaniu zwykłym: minimum IP 2X,</w:t>
      </w:r>
    </w:p>
    <w:p>
      <w:pPr>
        <w:pStyle w:val="Normal"/>
        <w:numPr>
          <w:ilvl w:val="0"/>
          <w:numId w:val="7"/>
        </w:numPr>
        <w:shd w:val="clear" w:color="auto" w:fill="FFFFFF"/>
        <w:ind w:hanging="283" w:start="426" w:end="423"/>
        <w:rPr>
          <w:sz w:val="24"/>
          <w:szCs w:val="24"/>
        </w:rPr>
      </w:pPr>
      <w:r>
        <w:rPr>
          <w:color w:val="000000"/>
          <w:spacing w:val="-1"/>
          <w:sz w:val="24"/>
          <w:szCs w:val="24"/>
        </w:rPr>
        <w:t>stopień ochrony w wykonaniu szczelnym: minimum IP 44.</w:t>
      </w:r>
    </w:p>
    <w:p>
      <w:pPr>
        <w:pStyle w:val="Heading3"/>
        <w:numPr>
          <w:ilvl w:val="2"/>
          <w:numId w:val="13"/>
        </w:numPr>
        <w:ind w:hanging="504" w:start="426" w:end="423"/>
        <w:rPr>
          <w:rFonts w:ascii="Arial" w:hAnsi="Arial" w:cs="Arial"/>
        </w:rPr>
      </w:pPr>
      <w:bookmarkStart w:id="63" w:name="_Toc215176922"/>
      <w:bookmarkStart w:id="64" w:name="_Toc535218199"/>
      <w:bookmarkEnd w:id="64"/>
      <w:r>
        <w:rPr>
          <w:rFonts w:cs="Arial" w:ascii="Arial" w:hAnsi="Arial"/>
        </w:rPr>
        <w:t>Gniazda wtykowe ogólnego przeznaczenia do montażu w instalacjach podtynkowych, natynkowych i natynkowo-wtynkowych:</w:t>
      </w:r>
      <w:bookmarkEnd w:id="63"/>
    </w:p>
    <w:p>
      <w:pPr>
        <w:pStyle w:val="Normal"/>
        <w:numPr>
          <w:ilvl w:val="0"/>
          <w:numId w:val="6"/>
        </w:numPr>
        <w:shd w:val="clear" w:color="auto" w:fill="FFFFFF"/>
        <w:ind w:hanging="274" w:start="426" w:end="423"/>
        <w:rPr>
          <w:sz w:val="24"/>
          <w:szCs w:val="24"/>
        </w:rPr>
      </w:pPr>
      <w:r>
        <w:rPr>
          <w:color w:val="000000"/>
          <w:spacing w:val="1"/>
          <w:sz w:val="24"/>
          <w:szCs w:val="24"/>
        </w:rPr>
        <w:t>Gniazda podtynkowe 1-fazowe powinny zostać wyposażone w styk ochronny i przysto</w:t>
      </w:r>
      <w:r>
        <w:rPr>
          <w:color w:val="000000"/>
          <w:sz w:val="24"/>
          <w:szCs w:val="24"/>
        </w:rPr>
        <w:t xml:space="preserve">sowane do instalowania w puszkach </w:t>
      </w:r>
      <w:r>
        <w:rPr>
          <w:rFonts w:eastAsia="Symbol"/>
          <w:color w:val="000000"/>
          <w:spacing w:val="6"/>
          <w:sz w:val="24"/>
          <w:szCs w:val="24"/>
        </w:rPr>
        <w:t>fi</w:t>
      </w:r>
      <w:r>
        <w:rPr>
          <w:color w:val="000000"/>
          <w:sz w:val="24"/>
          <w:szCs w:val="24"/>
        </w:rPr>
        <w:t xml:space="preserve"> 60 mm za pomocą wkrętów lub „pazurków".</w:t>
      </w:r>
    </w:p>
    <w:p>
      <w:pPr>
        <w:pStyle w:val="Normal"/>
        <w:numPr>
          <w:ilvl w:val="0"/>
          <w:numId w:val="6"/>
        </w:numPr>
        <w:shd w:val="clear" w:color="auto" w:fill="FFFFFF"/>
        <w:ind w:hanging="274" w:start="426" w:end="423"/>
        <w:rPr>
          <w:sz w:val="24"/>
          <w:szCs w:val="24"/>
        </w:rPr>
      </w:pPr>
      <w:r>
        <w:rPr>
          <w:color w:val="000000"/>
          <w:spacing w:val="2"/>
          <w:sz w:val="24"/>
          <w:szCs w:val="24"/>
        </w:rPr>
        <w:t xml:space="preserve">Gniazda natynkowe i natynkowo-wtynkowe 1-fazowe powinny być wyposażone w styk </w:t>
      </w:r>
      <w:r>
        <w:rPr>
          <w:color w:val="000000"/>
          <w:spacing w:val="-1"/>
          <w:sz w:val="24"/>
          <w:szCs w:val="24"/>
        </w:rPr>
        <w:t>ochronny i przystosowane do instalowania bezpośredniego na podłożu za pomocą wkrę</w:t>
      </w:r>
      <w:r>
        <w:rPr>
          <w:color w:val="000000"/>
          <w:sz w:val="24"/>
          <w:szCs w:val="24"/>
        </w:rPr>
        <w:t>tów lub przyklejane.</w:t>
      </w:r>
    </w:p>
    <w:p>
      <w:pPr>
        <w:pStyle w:val="Normal"/>
        <w:shd w:val="clear" w:color="auto" w:fill="FFFFFF"/>
        <w:ind w:start="426" w:end="423"/>
        <w:rPr>
          <w:sz w:val="24"/>
          <w:szCs w:val="24"/>
        </w:rPr>
      </w:pPr>
      <w:r>
        <w:rPr>
          <w:color w:val="000000"/>
          <w:sz w:val="24"/>
          <w:szCs w:val="24"/>
        </w:rPr>
        <w:t>Gniazda natynkowe 3-fazowe muszą być przystosowane do 5-cio żyłowych przewodów, w tym do podłączenia styku ochronnego oraz neutralnego.</w:t>
      </w:r>
    </w:p>
    <w:p>
      <w:pPr>
        <w:pStyle w:val="Normal"/>
        <w:shd w:val="clear" w:color="auto" w:fill="FFFFFF"/>
        <w:ind w:start="426" w:end="423"/>
        <w:rPr>
          <w:sz w:val="24"/>
          <w:szCs w:val="24"/>
        </w:rPr>
      </w:pPr>
      <w:r>
        <w:rPr>
          <w:color w:val="000000"/>
          <w:spacing w:val="1"/>
          <w:sz w:val="24"/>
          <w:szCs w:val="24"/>
        </w:rPr>
        <w:t>Zaciski do połączenia przewodów winny umożliwiać wprowadzenie przewodów o prze</w:t>
      </w:r>
      <w:r>
        <w:rPr>
          <w:color w:val="000000"/>
          <w:spacing w:val="-1"/>
          <w:sz w:val="24"/>
          <w:szCs w:val="24"/>
        </w:rPr>
        <w:t>kroju od 1,5÷6,0 mm</w:t>
      </w:r>
      <w:r>
        <w:rPr>
          <w:color w:val="000000"/>
          <w:spacing w:val="-1"/>
          <w:sz w:val="24"/>
          <w:szCs w:val="24"/>
          <w:vertAlign w:val="superscript"/>
        </w:rPr>
        <w:t>2</w:t>
      </w:r>
      <w:r>
        <w:rPr>
          <w:color w:val="000000"/>
          <w:spacing w:val="-1"/>
          <w:sz w:val="24"/>
          <w:szCs w:val="24"/>
        </w:rPr>
        <w:t xml:space="preserve"> w zależności od zainstalowanej mocy i rodzaju gniazda wtykowego.</w:t>
      </w:r>
    </w:p>
    <w:p>
      <w:pPr>
        <w:pStyle w:val="Normal"/>
        <w:shd w:val="clear" w:color="auto" w:fill="FFFFFF"/>
        <w:ind w:start="426" w:end="423"/>
        <w:rPr>
          <w:sz w:val="24"/>
          <w:szCs w:val="24"/>
        </w:rPr>
      </w:pPr>
      <w:r>
        <w:rPr>
          <w:color w:val="000000"/>
          <w:spacing w:val="1"/>
          <w:sz w:val="24"/>
          <w:szCs w:val="24"/>
        </w:rPr>
        <w:t>Obudowy gniazd należy wykonać z materiałów niepalnych lub niepodtrzymujących pło</w:t>
      </w:r>
      <w:r>
        <w:rPr>
          <w:color w:val="000000"/>
          <w:spacing w:val="-4"/>
          <w:sz w:val="24"/>
          <w:szCs w:val="24"/>
        </w:rPr>
        <w:t>mienia.</w:t>
      </w:r>
    </w:p>
    <w:p>
      <w:pPr>
        <w:pStyle w:val="Normal"/>
        <w:shd w:val="clear" w:color="auto" w:fill="FFFFFF"/>
        <w:ind w:start="426" w:end="423"/>
        <w:rPr>
          <w:sz w:val="24"/>
          <w:szCs w:val="24"/>
        </w:rPr>
      </w:pPr>
      <w:r>
        <w:rPr>
          <w:color w:val="000000"/>
          <w:spacing w:val="-1"/>
          <w:sz w:val="24"/>
          <w:szCs w:val="24"/>
        </w:rPr>
        <w:t>Podstawowe dane techniczne gniazd:</w:t>
      </w:r>
    </w:p>
    <w:p>
      <w:pPr>
        <w:pStyle w:val="Normal"/>
        <w:numPr>
          <w:ilvl w:val="0"/>
          <w:numId w:val="3"/>
        </w:numPr>
        <w:shd w:val="clear" w:color="auto" w:fill="FFFFFF"/>
        <w:ind w:start="426" w:end="423"/>
        <w:rPr>
          <w:sz w:val="24"/>
          <w:szCs w:val="24"/>
        </w:rPr>
      </w:pPr>
      <w:r>
        <w:rPr>
          <w:color w:val="000000"/>
          <w:spacing w:val="-1"/>
          <w:sz w:val="24"/>
          <w:szCs w:val="24"/>
        </w:rPr>
        <w:t>napięcie znamionowe: 250V lub 250V/400V; 50 Hz,</w:t>
      </w:r>
    </w:p>
    <w:p>
      <w:pPr>
        <w:pStyle w:val="Normal"/>
        <w:numPr>
          <w:ilvl w:val="0"/>
          <w:numId w:val="3"/>
        </w:numPr>
        <w:shd w:val="clear" w:color="auto" w:fill="FFFFFF"/>
        <w:ind w:start="426" w:end="423"/>
        <w:rPr>
          <w:sz w:val="24"/>
          <w:szCs w:val="24"/>
        </w:rPr>
      </w:pPr>
      <w:r>
        <w:rPr>
          <w:color w:val="000000"/>
          <w:spacing w:val="-1"/>
          <w:sz w:val="24"/>
          <w:szCs w:val="24"/>
        </w:rPr>
        <w:t>prąd znamionowy: 10A, 16A dla gniazd 1-fazowych,</w:t>
      </w:r>
    </w:p>
    <w:p>
      <w:pPr>
        <w:pStyle w:val="Normal"/>
        <w:numPr>
          <w:ilvl w:val="0"/>
          <w:numId w:val="3"/>
        </w:numPr>
        <w:shd w:val="clear" w:color="auto" w:fill="FFFFFF"/>
        <w:ind w:start="426" w:end="423"/>
        <w:rPr>
          <w:sz w:val="24"/>
          <w:szCs w:val="24"/>
        </w:rPr>
      </w:pPr>
      <w:r>
        <w:rPr>
          <w:color w:val="000000"/>
          <w:spacing w:val="-1"/>
          <w:sz w:val="24"/>
          <w:szCs w:val="24"/>
        </w:rPr>
        <w:t>stopień ochrony w wykonaniu zwykłym: minimum IP 2X,</w:t>
      </w:r>
    </w:p>
    <w:p>
      <w:pPr>
        <w:pStyle w:val="Normal"/>
        <w:numPr>
          <w:ilvl w:val="0"/>
          <w:numId w:val="3"/>
        </w:numPr>
        <w:shd w:val="clear" w:color="auto" w:fill="FFFFFF"/>
        <w:ind w:start="426" w:end="423"/>
        <w:rPr>
          <w:sz w:val="24"/>
          <w:szCs w:val="24"/>
        </w:rPr>
      </w:pPr>
      <w:r>
        <w:rPr>
          <w:color w:val="000000"/>
          <w:spacing w:val="-1"/>
          <w:sz w:val="24"/>
          <w:szCs w:val="24"/>
        </w:rPr>
        <w:t>stopień ochrony w wykonaniu szczelnym: minimum IP 44.</w:t>
      </w:r>
    </w:p>
    <w:p>
      <w:pPr>
        <w:pStyle w:val="Heading3"/>
        <w:numPr>
          <w:ilvl w:val="2"/>
          <w:numId w:val="13"/>
        </w:numPr>
        <w:ind w:hanging="504" w:start="426" w:end="423"/>
        <w:rPr>
          <w:rFonts w:ascii="Arial" w:hAnsi="Arial" w:cs="Arial"/>
        </w:rPr>
      </w:pPr>
      <w:bookmarkStart w:id="65" w:name="_Toc215176923"/>
      <w:bookmarkStart w:id="66" w:name="_Toc535218200"/>
      <w:bookmarkEnd w:id="66"/>
      <w:r>
        <w:rPr>
          <w:rFonts w:cs="Arial" w:ascii="Arial" w:hAnsi="Arial"/>
        </w:rPr>
        <w:t>Osprzęt oświetleniowy</w:t>
      </w:r>
      <w:bookmarkEnd w:id="65"/>
    </w:p>
    <w:p>
      <w:pPr>
        <w:pStyle w:val="Normal"/>
        <w:shd w:val="clear" w:color="auto" w:fill="FFFFFF"/>
        <w:ind w:firstLine="282" w:start="426" w:end="423"/>
        <w:rPr>
          <w:sz w:val="24"/>
          <w:szCs w:val="24"/>
        </w:rPr>
      </w:pPr>
      <w:r>
        <w:rPr>
          <w:color w:val="000000"/>
          <w:spacing w:val="-1"/>
          <w:sz w:val="24"/>
          <w:szCs w:val="24"/>
        </w:rPr>
        <w:t>Wypusty sufitowe i ścienne powinny być przystosowane do instalowania opraw oświetle</w:t>
      </w:r>
      <w:r>
        <w:rPr>
          <w:color w:val="000000"/>
          <w:spacing w:val="6"/>
          <w:sz w:val="24"/>
          <w:szCs w:val="24"/>
        </w:rPr>
        <w:t xml:space="preserve">niowych, przy czym przekrój przewodów ułożonych na stałe nie może być mniejszy od </w:t>
      </w:r>
      <w:r>
        <w:rPr>
          <w:color w:val="000000"/>
          <w:spacing w:val="5"/>
          <w:sz w:val="24"/>
          <w:szCs w:val="24"/>
        </w:rPr>
        <w:t>1,5 mm</w:t>
      </w:r>
      <w:r>
        <w:rPr>
          <w:color w:val="000000"/>
          <w:spacing w:val="5"/>
          <w:sz w:val="24"/>
          <w:szCs w:val="24"/>
          <w:vertAlign w:val="superscript"/>
        </w:rPr>
        <w:t>2</w:t>
      </w:r>
      <w:r>
        <w:rPr>
          <w:color w:val="000000"/>
          <w:spacing w:val="5"/>
          <w:sz w:val="24"/>
          <w:szCs w:val="24"/>
        </w:rPr>
        <w:t xml:space="preserve">, a napięcie izolacji nie może być mniejsze od 750 V jeśli przewody układane są </w:t>
      </w:r>
      <w:r>
        <w:rPr>
          <w:color w:val="000000"/>
          <w:spacing w:val="2"/>
          <w:sz w:val="24"/>
          <w:szCs w:val="24"/>
        </w:rPr>
        <w:t xml:space="preserve">w rurkach stalowych lub otworach prefabrykowanych elementów budowlanych oraz 300 V </w:t>
      </w:r>
      <w:r>
        <w:rPr>
          <w:color w:val="000000"/>
          <w:spacing w:val="-1"/>
          <w:sz w:val="24"/>
          <w:szCs w:val="24"/>
        </w:rPr>
        <w:t>w pozostałych przypadkach.</w:t>
      </w:r>
    </w:p>
    <w:p>
      <w:pPr>
        <w:pStyle w:val="Normal"/>
        <w:shd w:val="clear" w:color="auto" w:fill="FFFFFF"/>
        <w:ind w:start="426" w:end="423"/>
        <w:rPr>
          <w:sz w:val="24"/>
          <w:szCs w:val="24"/>
        </w:rPr>
      </w:pPr>
      <w:r>
        <w:rPr>
          <w:color w:val="000000"/>
          <w:spacing w:val="-1"/>
          <w:sz w:val="24"/>
          <w:szCs w:val="24"/>
        </w:rPr>
        <w:t>Należy zastosować oprawy o parametrach wg dokumentacji projektowej.</w:t>
      </w:r>
    </w:p>
    <w:p>
      <w:pPr>
        <w:pStyle w:val="Heading3"/>
        <w:numPr>
          <w:ilvl w:val="2"/>
          <w:numId w:val="13"/>
        </w:numPr>
        <w:ind w:hanging="504" w:start="426" w:end="423"/>
        <w:rPr>
          <w:rFonts w:ascii="Arial" w:hAnsi="Arial" w:cs="Arial"/>
        </w:rPr>
      </w:pPr>
      <w:bookmarkStart w:id="67" w:name="_Toc215176924"/>
      <w:bookmarkStart w:id="68" w:name="_Toc535218202"/>
      <w:bookmarkStart w:id="69" w:name="_Toc535218201"/>
      <w:bookmarkEnd w:id="68"/>
      <w:bookmarkEnd w:id="69"/>
      <w:r>
        <w:rPr>
          <w:rFonts w:cs="Arial" w:ascii="Arial" w:hAnsi="Arial"/>
        </w:rPr>
        <w:t>Tablice rozdzielcze</w:t>
      </w:r>
      <w:bookmarkEnd w:id="67"/>
    </w:p>
    <w:p>
      <w:pPr>
        <w:pStyle w:val="Normal"/>
        <w:shd w:val="clear" w:color="auto" w:fill="FFFFFF"/>
        <w:ind w:firstLine="282" w:start="426" w:end="423"/>
        <w:rPr>
          <w:sz w:val="24"/>
          <w:szCs w:val="24"/>
        </w:rPr>
      </w:pPr>
      <w:r>
        <w:rPr>
          <w:color w:val="000000"/>
          <w:spacing w:val="-1"/>
          <w:sz w:val="24"/>
          <w:szCs w:val="24"/>
        </w:rPr>
        <w:t xml:space="preserve">Wszystkie materiały do prefabrykacji i montażu rozdzielnic powinny odpowiadać wymaganiom zawartym w dokumentach odniesienia (normach, aprobatach technicznych). </w:t>
      </w:r>
    </w:p>
    <w:p>
      <w:pPr>
        <w:pStyle w:val="Normal"/>
        <w:ind w:start="426" w:end="423"/>
        <w:rPr>
          <w:sz w:val="24"/>
          <w:szCs w:val="24"/>
        </w:rPr>
      </w:pPr>
      <w:r>
        <w:rPr>
          <w:color w:val="000000"/>
          <w:spacing w:val="-1"/>
          <w:sz w:val="24"/>
          <w:szCs w:val="24"/>
        </w:rPr>
        <w:t>W rozdzielnicach zainstalować aparaturę- w tym celu należy:</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zamocować profile szynowe TH-35 ( lub inne ) do mocowania aparatów i listew zaciskowych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zamontować listwy zaciskowe</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zamontować aparaty elektryczne przewidziane w projekcie instalacji</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oczyścić styki aparatów z konserwantów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wykonać połączenia przewodami między poszczególnymi aparatami i listwami zaciskowymi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wykonać oznaczniki na przewodach i oznaczenia na listwach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wykonać zgodnie z projektem opisy aparatury , tablic i szaf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wykonać połączenie części metalowych obudów i konstrukcji z przewodem ochronnym PE             </w:t>
      </w:r>
    </w:p>
    <w:p>
      <w:pPr>
        <w:pStyle w:val="Normal"/>
        <w:ind w:start="426" w:end="423"/>
        <w:textAlignment w:val="baseline"/>
        <w:rPr>
          <w:sz w:val="24"/>
          <w:szCs w:val="24"/>
        </w:rPr>
      </w:pPr>
      <w:r>
        <w:rPr>
          <w:color w:val="000000"/>
          <w:spacing w:val="-1"/>
          <w:sz w:val="24"/>
          <w:szCs w:val="24"/>
        </w:rPr>
        <w:t xml:space="preserve">W ogólnie dostępnych instalacjach wnętrzowych należy montować aparaty zabezpieczające z pokrywami osłaniającymi części będące pod napięciem.  Aparaty zabezpieczające zainstalowane przed licznikiem należy osłonić pokrywą przystosowaną do plombowania. Wszystkie aparaty należy montować w położeniu przewidzianym przez producenta . Aparaty wydzielające dużo ciepła należy montować w odległości co najmniej 15-20 mm od innych aparatów .                                                                                                                                 </w:t>
        <w:br/>
        <w:t xml:space="preserve">Przewody w skrzynkach , szafkach , tablicach należy układać w wiązkach na uchwytach , korytkach lub luźno między zaciskami aparatów i listew.                                                    </w:t>
      </w:r>
    </w:p>
    <w:p>
      <w:pPr>
        <w:pStyle w:val="Normal"/>
        <w:ind w:start="426" w:end="423"/>
        <w:textAlignment w:val="baseline"/>
        <w:rPr>
          <w:sz w:val="24"/>
          <w:szCs w:val="24"/>
        </w:rPr>
      </w:pPr>
      <w:r>
        <w:rPr>
          <w:color w:val="000000"/>
          <w:spacing w:val="-1"/>
          <w:sz w:val="24"/>
          <w:szCs w:val="24"/>
        </w:rPr>
        <w:t xml:space="preserve">               </w:t>
      </w:r>
      <w:r>
        <w:rPr>
          <w:color w:val="000000"/>
          <w:spacing w:val="-1"/>
          <w:sz w:val="24"/>
          <w:szCs w:val="24"/>
        </w:rPr>
        <w:t>Przy montażu przewodów jednożyłowych o przekroju żyły powyżej 10 mm 2   należy stosować końcówki kablowe, przewody wielożyłowe należy po odizolowaniu ocynować i dla przewodów o przekroju żyły powyżej 6 mm zastosować końcówki.</w:t>
      </w:r>
    </w:p>
    <w:p>
      <w:pPr>
        <w:pStyle w:val="Heading2"/>
        <w:numPr>
          <w:ilvl w:val="1"/>
          <w:numId w:val="13"/>
        </w:numPr>
        <w:ind w:hanging="432" w:start="426" w:end="423"/>
        <w:rPr>
          <w:rFonts w:ascii="Arial" w:hAnsi="Arial" w:cs="Arial"/>
          <w:sz w:val="24"/>
          <w:szCs w:val="24"/>
        </w:rPr>
      </w:pPr>
      <w:bookmarkStart w:id="70" w:name="_Toc215176925"/>
      <w:bookmarkStart w:id="71" w:name="_Toc535218203"/>
      <w:bookmarkEnd w:id="71"/>
      <w:r>
        <w:rPr>
          <w:rFonts w:cs="Arial" w:ascii="Arial" w:hAnsi="Arial"/>
          <w:sz w:val="24"/>
          <w:szCs w:val="24"/>
        </w:rPr>
        <w:t>Warunki przyjęcia na budowę materiałów do robót montażowych</w:t>
      </w:r>
      <w:bookmarkEnd w:id="70"/>
    </w:p>
    <w:p>
      <w:pPr>
        <w:pStyle w:val="Normal"/>
        <w:shd w:val="clear" w:color="auto" w:fill="FFFFFF"/>
        <w:ind w:firstLine="282" w:start="708" w:end="423"/>
        <w:rPr>
          <w:sz w:val="24"/>
          <w:szCs w:val="24"/>
        </w:rPr>
      </w:pPr>
      <w:r>
        <w:rPr>
          <w:color w:val="000000"/>
          <w:spacing w:val="2"/>
          <w:sz w:val="24"/>
          <w:szCs w:val="24"/>
        </w:rPr>
        <w:t xml:space="preserve">Wyroby do robót montażowych mogą być przyjęte na budowę, jeśli spełniają następujące </w:t>
      </w:r>
      <w:r>
        <w:rPr>
          <w:color w:val="000000"/>
          <w:spacing w:val="-2"/>
          <w:sz w:val="24"/>
          <w:szCs w:val="24"/>
        </w:rPr>
        <w:t>warunki:</w:t>
      </w:r>
    </w:p>
    <w:p>
      <w:pPr>
        <w:pStyle w:val="Normal"/>
        <w:numPr>
          <w:ilvl w:val="0"/>
          <w:numId w:val="4"/>
        </w:numPr>
        <w:shd w:val="clear" w:color="auto" w:fill="FFFFFF"/>
        <w:ind w:hanging="288" w:start="426" w:end="423"/>
        <w:rPr>
          <w:sz w:val="24"/>
          <w:szCs w:val="24"/>
        </w:rPr>
      </w:pPr>
      <w:r>
        <w:rPr>
          <w:color w:val="000000"/>
          <w:sz w:val="24"/>
          <w:szCs w:val="24"/>
        </w:rPr>
        <w:t>są zgodne z ich wyszczególnieniem i charakterystyką podaną w dokumentacji projektowej i specyfikacji technicznej (szczegółowej) SST</w:t>
      </w:r>
    </w:p>
    <w:p>
      <w:pPr>
        <w:pStyle w:val="Normal"/>
        <w:numPr>
          <w:ilvl w:val="0"/>
          <w:numId w:val="4"/>
        </w:numPr>
        <w:shd w:val="clear" w:color="auto" w:fill="FFFFFF"/>
        <w:ind w:start="426" w:end="423"/>
        <w:rPr>
          <w:sz w:val="24"/>
          <w:szCs w:val="24"/>
        </w:rPr>
      </w:pPr>
      <w:r>
        <w:rPr>
          <w:color w:val="000000"/>
          <w:sz w:val="24"/>
          <w:szCs w:val="24"/>
        </w:rPr>
        <w:t>są właściwie oznakowane i opakowane</w:t>
      </w:r>
    </w:p>
    <w:p>
      <w:pPr>
        <w:pStyle w:val="Normal"/>
        <w:numPr>
          <w:ilvl w:val="0"/>
          <w:numId w:val="4"/>
        </w:numPr>
        <w:shd w:val="clear" w:color="auto" w:fill="FFFFFF"/>
        <w:ind w:start="426" w:end="423"/>
        <w:rPr>
          <w:sz w:val="24"/>
          <w:szCs w:val="24"/>
        </w:rPr>
      </w:pPr>
      <w:r>
        <w:rPr>
          <w:color w:val="000000"/>
          <w:sz w:val="24"/>
          <w:szCs w:val="24"/>
        </w:rPr>
        <w:t>spełniają wymagane właściwości wskazane odpowiednimi dokumentami odniesienia</w:t>
      </w:r>
    </w:p>
    <w:p>
      <w:pPr>
        <w:pStyle w:val="Normal"/>
        <w:numPr>
          <w:ilvl w:val="0"/>
          <w:numId w:val="4"/>
        </w:numPr>
        <w:shd w:val="clear" w:color="auto" w:fill="FFFFFF"/>
        <w:ind w:hanging="288" w:start="426" w:end="423"/>
        <w:rPr>
          <w:sz w:val="24"/>
          <w:szCs w:val="24"/>
        </w:rPr>
      </w:pPr>
      <w:r>
        <w:rPr>
          <w:color w:val="000000"/>
          <w:spacing w:val="1"/>
          <w:sz w:val="24"/>
          <w:szCs w:val="24"/>
        </w:rPr>
        <w:t>producent dostarczył dokumenty świadczące o dopuszczeniu do obrotu i powszechne</w:t>
      </w:r>
      <w:r>
        <w:rPr>
          <w:color w:val="000000"/>
          <w:spacing w:val="4"/>
          <w:sz w:val="24"/>
          <w:szCs w:val="24"/>
        </w:rPr>
        <w:t xml:space="preserve">go lub jednostkowego zastosowania, a w odniesieniu do fabrycznie przygotowanych prefabrykatów również karty katalogowe wyrobów lub firmowe wytyczne stosowania </w:t>
      </w:r>
      <w:r>
        <w:rPr>
          <w:color w:val="000000"/>
          <w:spacing w:val="-1"/>
          <w:sz w:val="24"/>
          <w:szCs w:val="24"/>
        </w:rPr>
        <w:t>wyrobów.</w:t>
      </w:r>
    </w:p>
    <w:p>
      <w:pPr>
        <w:pStyle w:val="Normal"/>
        <w:shd w:val="clear" w:color="auto" w:fill="FFFFFF"/>
        <w:ind w:start="426" w:end="423"/>
        <w:rPr>
          <w:sz w:val="24"/>
          <w:szCs w:val="24"/>
        </w:rPr>
      </w:pPr>
      <w:r>
        <w:rPr>
          <w:color w:val="000000"/>
          <w:sz w:val="24"/>
          <w:szCs w:val="24"/>
        </w:rPr>
        <w:t>Niedopuszczalne jest stosowanie do robót montażowych - wyrobów i materiałów nie</w:t>
      </w:r>
      <w:r>
        <w:rPr>
          <w:color w:val="000000"/>
          <w:spacing w:val="-1"/>
          <w:sz w:val="24"/>
          <w:szCs w:val="24"/>
        </w:rPr>
        <w:t>znanego pochodzenia.</w:t>
      </w:r>
    </w:p>
    <w:p>
      <w:pPr>
        <w:pStyle w:val="Normal"/>
        <w:shd w:val="clear" w:color="auto" w:fill="FFFFFF"/>
        <w:ind w:start="426" w:end="423"/>
        <w:rPr>
          <w:sz w:val="24"/>
          <w:szCs w:val="24"/>
        </w:rPr>
      </w:pPr>
      <w:r>
        <w:rPr>
          <w:color w:val="000000"/>
          <w:spacing w:val="2"/>
          <w:sz w:val="24"/>
          <w:szCs w:val="24"/>
        </w:rPr>
        <w:t xml:space="preserve">Przyjęcie materiałów i wyrobów na budowę powinno być potwierdzone wpisem do </w:t>
      </w:r>
      <w:r>
        <w:rPr>
          <w:color w:val="000000"/>
          <w:spacing w:val="-1"/>
          <w:sz w:val="24"/>
          <w:szCs w:val="24"/>
        </w:rPr>
        <w:t>dziennika budowy.</w:t>
      </w:r>
    </w:p>
    <w:p>
      <w:pPr>
        <w:pStyle w:val="Normal"/>
        <w:shd w:val="clear" w:color="auto" w:fill="FFFFFF"/>
        <w:ind w:start="426" w:end="423"/>
        <w:rPr>
          <w:sz w:val="24"/>
          <w:szCs w:val="24"/>
        </w:rPr>
      </w:pPr>
      <w:r>
        <w:rPr>
          <w:color w:val="000000"/>
          <w:spacing w:val="1"/>
          <w:sz w:val="24"/>
          <w:szCs w:val="24"/>
        </w:rPr>
        <w:t xml:space="preserve">Wszystkie materiały pakowane powinny być przechowywane i magazynowane zgodnie </w:t>
      </w:r>
      <w:r>
        <w:rPr>
          <w:color w:val="000000"/>
          <w:sz w:val="24"/>
          <w:szCs w:val="24"/>
        </w:rPr>
        <w:t>z instrukcją producenta oraz wymaganiami odpowiednich norm.</w:t>
      </w:r>
    </w:p>
    <w:p>
      <w:pPr>
        <w:pStyle w:val="Normal"/>
        <w:shd w:val="clear" w:color="auto" w:fill="FFFFFF"/>
        <w:ind w:start="426" w:end="423"/>
        <w:rPr>
          <w:sz w:val="24"/>
          <w:szCs w:val="24"/>
        </w:rPr>
      </w:pPr>
      <w:r>
        <w:rPr>
          <w:color w:val="000000"/>
          <w:spacing w:val="1"/>
          <w:sz w:val="24"/>
          <w:szCs w:val="24"/>
        </w:rPr>
        <w:t xml:space="preserve">W szczególności kable i przewody należy przechowywać na bębnach (oznaczenie „B") </w:t>
      </w:r>
      <w:r>
        <w:rPr>
          <w:color w:val="000000"/>
          <w:sz w:val="24"/>
          <w:szCs w:val="24"/>
        </w:rPr>
        <w:t>lub w krążkach (oznaczenie „K"), końce przewodów producent zabezpiecza przed przedostawaniem się wilgoci do wewnątrz i wyprowadza poza opakowanie dla ułatwienia kontroli parametrów (ciągłość żył, przekrój).</w:t>
      </w:r>
    </w:p>
    <w:p>
      <w:pPr>
        <w:pStyle w:val="Normal"/>
        <w:shd w:val="clear" w:color="auto" w:fill="FFFFFF"/>
        <w:ind w:start="426" w:end="423"/>
        <w:rPr>
          <w:sz w:val="24"/>
          <w:szCs w:val="24"/>
        </w:rPr>
      </w:pPr>
      <w:r>
        <w:rPr>
          <w:color w:val="000000"/>
          <w:spacing w:val="4"/>
          <w:sz w:val="24"/>
          <w:szCs w:val="24"/>
        </w:rPr>
        <w:t>Pozostały sprzęt, osprzęt i oprawy oświetleniowe wraz z osprzętem pomocniczym należy przechowywać w oryginalnych opakowaniach, kartonach, opakowaniach folio</w:t>
      </w:r>
      <w:r>
        <w:rPr>
          <w:color w:val="000000"/>
          <w:spacing w:val="5"/>
          <w:sz w:val="24"/>
          <w:szCs w:val="24"/>
        </w:rPr>
        <w:t>wych. Szczególnie należy chronić przed wpływami atmosferycznymi: deszczem, mro</w:t>
        <w:softHyphen/>
      </w:r>
      <w:r>
        <w:rPr>
          <w:color w:val="000000"/>
          <w:spacing w:val="3"/>
          <w:sz w:val="24"/>
          <w:szCs w:val="24"/>
        </w:rPr>
        <w:t>zem oraz zawilgoceniem.</w:t>
      </w:r>
    </w:p>
    <w:p>
      <w:pPr>
        <w:pStyle w:val="Normal"/>
        <w:shd w:val="clear" w:color="auto" w:fill="FFFFFF"/>
        <w:ind w:start="426" w:end="423"/>
        <w:rPr>
          <w:sz w:val="24"/>
          <w:szCs w:val="24"/>
        </w:rPr>
      </w:pPr>
      <w:r>
        <w:rPr>
          <w:color w:val="000000"/>
          <w:sz w:val="24"/>
          <w:szCs w:val="24"/>
        </w:rPr>
        <w:t>Pomieszczenie magazynowe do przechowywania wyrobów opakowanych powinno być suche i zabezpieczone przed zawilgoceniem.</w:t>
      </w:r>
    </w:p>
    <w:p>
      <w:pPr>
        <w:pStyle w:val="Heading2"/>
        <w:numPr>
          <w:ilvl w:val="1"/>
          <w:numId w:val="13"/>
        </w:numPr>
        <w:ind w:hanging="432" w:start="426" w:end="423"/>
        <w:rPr>
          <w:rFonts w:ascii="Arial" w:hAnsi="Arial" w:cs="Arial"/>
          <w:sz w:val="24"/>
          <w:szCs w:val="24"/>
        </w:rPr>
      </w:pPr>
      <w:bookmarkStart w:id="72" w:name="_Toc215176926"/>
      <w:bookmarkStart w:id="73" w:name="_Toc535218204"/>
      <w:r>
        <w:rPr>
          <w:rFonts w:cs="Arial" w:ascii="Arial" w:hAnsi="Arial"/>
          <w:sz w:val="24"/>
          <w:szCs w:val="24"/>
        </w:rPr>
        <w:t>Warunki przechowywania materiałów</w:t>
      </w:r>
      <w:bookmarkEnd w:id="72"/>
      <w:bookmarkEnd w:id="73"/>
      <w:r>
        <w:rPr>
          <w:rFonts w:cs="Arial" w:ascii="Arial" w:hAnsi="Arial"/>
          <w:sz w:val="24"/>
          <w:szCs w:val="24"/>
        </w:rPr>
        <w:t xml:space="preserve"> </w:t>
      </w:r>
    </w:p>
    <w:p>
      <w:pPr>
        <w:pStyle w:val="Normal"/>
        <w:shd w:val="clear" w:color="auto" w:fill="FFFFFF"/>
        <w:ind w:firstLine="272" w:start="426" w:end="423"/>
        <w:rPr>
          <w:sz w:val="24"/>
          <w:szCs w:val="24"/>
        </w:rPr>
      </w:pPr>
      <w:r>
        <w:rPr>
          <w:color w:val="000000"/>
          <w:spacing w:val="5"/>
          <w:sz w:val="24"/>
          <w:szCs w:val="24"/>
        </w:rPr>
        <w:t xml:space="preserve">Wszystkie materiały pakowane powinny być przechowywane i magazynowane zgodnie </w:t>
      </w:r>
      <w:r>
        <w:rPr>
          <w:color w:val="000000"/>
          <w:sz w:val="24"/>
          <w:szCs w:val="24"/>
        </w:rPr>
        <w:t>z instrukcją producenta oraz wymaganiami odpowiednich norm.</w:t>
      </w:r>
    </w:p>
    <w:p>
      <w:pPr>
        <w:pStyle w:val="Normal"/>
        <w:shd w:val="clear" w:color="auto" w:fill="FFFFFF"/>
        <w:ind w:firstLine="272" w:start="426" w:end="423"/>
        <w:rPr>
          <w:sz w:val="24"/>
          <w:szCs w:val="24"/>
        </w:rPr>
      </w:pPr>
      <w:r>
        <w:rPr>
          <w:color w:val="000000"/>
          <w:spacing w:val="1"/>
          <w:sz w:val="24"/>
          <w:szCs w:val="24"/>
        </w:rPr>
        <w:t xml:space="preserve">W szczególności kable i przewody należy przechowywać na bębnach (oznaczenie „B") </w:t>
      </w:r>
      <w:r>
        <w:rPr>
          <w:color w:val="000000"/>
          <w:sz w:val="24"/>
          <w:szCs w:val="24"/>
        </w:rPr>
        <w:t xml:space="preserve">lub w krążkach (oznaczenie „K"), końce przewodów producent zabezpiecza przed przedostawaniem się wilgoci do wewnątrz i wyprowadza poza opakowanie dla ułatwienia kontroli </w:t>
      </w:r>
      <w:r>
        <w:rPr>
          <w:color w:val="000000"/>
          <w:spacing w:val="-1"/>
          <w:sz w:val="24"/>
          <w:szCs w:val="24"/>
        </w:rPr>
        <w:t>parametrów (ciągłość żył, przekrój).</w:t>
      </w:r>
    </w:p>
    <w:p>
      <w:pPr>
        <w:pStyle w:val="Normal"/>
        <w:shd w:val="clear" w:color="auto" w:fill="FFFFFF"/>
        <w:ind w:firstLine="295" w:start="426" w:end="423"/>
        <w:rPr>
          <w:sz w:val="24"/>
          <w:szCs w:val="24"/>
        </w:rPr>
      </w:pPr>
      <w:r>
        <w:rPr>
          <w:color w:val="000000"/>
          <w:spacing w:val="-1"/>
          <w:sz w:val="24"/>
          <w:szCs w:val="24"/>
        </w:rPr>
        <w:t>Pozostały sprzęt, osprzęt wraz z osprzętem pomocniczym należy przechowywać w ory</w:t>
      </w:r>
      <w:r>
        <w:rPr>
          <w:color w:val="000000"/>
          <w:sz w:val="24"/>
          <w:szCs w:val="24"/>
        </w:rPr>
        <w:t xml:space="preserve">ginalnych opakowaniach, kartonach, opakowaniach foliowych. Szczególnie należy chronić </w:t>
      </w:r>
      <w:r>
        <w:rPr>
          <w:color w:val="000000"/>
          <w:spacing w:val="-1"/>
          <w:sz w:val="24"/>
          <w:szCs w:val="24"/>
        </w:rPr>
        <w:t>przed wpływami atmosferycznymi: deszcz, mróz oraz zawilgoceniem.</w:t>
      </w:r>
    </w:p>
    <w:p>
      <w:pPr>
        <w:pStyle w:val="Normal"/>
        <w:shd w:val="clear" w:color="auto" w:fill="FFFFFF"/>
        <w:ind w:firstLine="289" w:start="426" w:end="423"/>
        <w:rPr>
          <w:sz w:val="24"/>
          <w:szCs w:val="24"/>
        </w:rPr>
      </w:pPr>
      <w:r>
        <w:rPr>
          <w:color w:val="000000"/>
          <w:sz w:val="24"/>
          <w:szCs w:val="24"/>
        </w:rPr>
        <w:t xml:space="preserve">Pomieszczenie magazynowe do przechowywania wyrobów opakowanych powinno być </w:t>
      </w:r>
      <w:r>
        <w:rPr>
          <w:color w:val="000000"/>
          <w:spacing w:val="-1"/>
          <w:sz w:val="24"/>
          <w:szCs w:val="24"/>
        </w:rPr>
        <w:t>suche i zabezpieczone przed zawilgoceniem.</w:t>
      </w:r>
    </w:p>
    <w:p>
      <w:pPr>
        <w:pStyle w:val="Heading1"/>
        <w:numPr>
          <w:ilvl w:val="0"/>
          <w:numId w:val="13"/>
        </w:numPr>
        <w:ind w:hanging="360" w:start="426" w:end="423"/>
        <w:rPr>
          <w:rFonts w:ascii="Arial" w:hAnsi="Arial" w:cs="Arial"/>
          <w:sz w:val="24"/>
          <w:szCs w:val="24"/>
        </w:rPr>
      </w:pPr>
      <w:bookmarkStart w:id="74" w:name="_Toc215176927"/>
      <w:bookmarkStart w:id="75" w:name="_Toc535218205"/>
      <w:bookmarkEnd w:id="75"/>
      <w:r>
        <w:rPr>
          <w:rFonts w:cs="Arial" w:ascii="Arial" w:hAnsi="Arial"/>
          <w:sz w:val="24"/>
          <w:szCs w:val="24"/>
        </w:rPr>
        <w:t>WYMAGANIA DOTYCZĄCE SPRZĘTU, MASZYN I NARZĘDZI</w:t>
      </w:r>
      <w:bookmarkEnd w:id="74"/>
    </w:p>
    <w:p>
      <w:pPr>
        <w:pStyle w:val="Heading2"/>
        <w:numPr>
          <w:ilvl w:val="1"/>
          <w:numId w:val="13"/>
        </w:numPr>
        <w:ind w:hanging="432" w:start="426" w:end="423"/>
        <w:rPr>
          <w:rFonts w:ascii="Arial" w:hAnsi="Arial" w:cs="Arial"/>
          <w:sz w:val="24"/>
          <w:szCs w:val="24"/>
        </w:rPr>
      </w:pPr>
      <w:bookmarkStart w:id="76" w:name="_Toc215176928"/>
      <w:bookmarkStart w:id="77" w:name="_Toc535218206"/>
      <w:r>
        <w:rPr>
          <w:rFonts w:cs="Arial" w:ascii="Arial" w:hAnsi="Arial"/>
          <w:sz w:val="24"/>
          <w:szCs w:val="24"/>
        </w:rPr>
        <w:t>Ogólne wymagania dotyczące sprzętu podano w ST „Wymagania ogólne"</w:t>
      </w:r>
      <w:bookmarkEnd w:id="76"/>
      <w:bookmarkEnd w:id="77"/>
      <w:r>
        <w:rPr>
          <w:rFonts w:cs="Arial" w:ascii="Arial" w:hAnsi="Arial"/>
          <w:sz w:val="24"/>
          <w:szCs w:val="24"/>
        </w:rPr>
        <w:t xml:space="preserve"> </w:t>
      </w:r>
    </w:p>
    <w:p>
      <w:pPr>
        <w:pStyle w:val="Normal"/>
        <w:ind w:start="426" w:end="423"/>
        <w:rPr>
          <w:sz w:val="24"/>
          <w:szCs w:val="24"/>
        </w:rPr>
      </w:pPr>
      <w:r>
        <w:rPr>
          <w:sz w:val="24"/>
          <w:szCs w:val="24"/>
        </w:rPr>
      </w:r>
    </w:p>
    <w:p>
      <w:pPr>
        <w:pStyle w:val="SpecyfikacjaSSTpodstawowy"/>
        <w:ind w:firstLine="282" w:start="426" w:end="423"/>
        <w:jc w:val="start"/>
        <w:rPr>
          <w:rFonts w:ascii="Arial" w:hAnsi="Arial" w:cs="Arial"/>
        </w:rPr>
      </w:pPr>
      <w:r>
        <w:rPr>
          <w:rFonts w:cs="Arial" w:ascii="Arial" w:hAnsi="Arial"/>
        </w:rPr>
        <w:t>Wykonawca jest zobowiązany do używania jedynie takiego sprzętu, który nie spowoduje niekorzystnego wpływu na jakość wykonywanych robót i będzie gwarantować przeprowadzenie robót, zgodnie z zasadami określonymi w dokumentacji projektowej.</w:t>
      </w:r>
    </w:p>
    <w:p>
      <w:pPr>
        <w:pStyle w:val="SpecyfikacjaSSTpodstawowy"/>
        <w:ind w:start="426" w:end="423"/>
        <w:jc w:val="start"/>
        <w:rPr>
          <w:rFonts w:ascii="Arial" w:hAnsi="Arial" w:cs="Arial"/>
        </w:rPr>
      </w:pPr>
      <w:r>
        <w:rPr>
          <w:rFonts w:cs="Arial" w:ascii="Arial" w:hAnsi="Arial"/>
        </w:rPr>
        <w:t>W przypadku braku ustaleń w wymienionych dokumentach, zasady pracy sprzętu powinny być uzgodnione i zaakceptowane przez Inspektora nadzoru inwestorskiego.</w:t>
      </w:r>
    </w:p>
    <w:p>
      <w:pPr>
        <w:pStyle w:val="SpecyfikacjaSSTpodstawowy"/>
        <w:ind w:start="426" w:end="423"/>
        <w:jc w:val="start"/>
        <w:rPr>
          <w:rFonts w:ascii="Arial" w:hAnsi="Arial" w:cs="Arial"/>
        </w:rPr>
      </w:pPr>
      <w:r>
        <w:rPr>
          <w:rFonts w:cs="Arial" w:ascii="Arial" w:hAnsi="Arial"/>
        </w:rPr>
        <w:t>Sprzęt należący do Wykonawcy lub wynajęty do wykonania robót musi być utrzymany w dobrym stanie technicznym i w gotowości do pracy.</w:t>
      </w:r>
    </w:p>
    <w:p>
      <w:pPr>
        <w:pStyle w:val="SpecyfikacjaSSTpodstawowy"/>
        <w:ind w:start="426" w:end="423"/>
        <w:jc w:val="start"/>
        <w:rPr>
          <w:rFonts w:ascii="Arial" w:hAnsi="Arial" w:cs="Arial"/>
        </w:rPr>
      </w:pPr>
      <w:r>
        <w:rPr>
          <w:rFonts w:cs="Arial" w:ascii="Arial" w:hAnsi="Arial"/>
        </w:rPr>
        <w:t>Wykonawca dostarczy, na żądanie, Inspektorowi nadzoru kopie dokumentów potwierdzających dopuszczenie sprzętu do użytkowania, tam gdzie jest to wymagane przepisami. Jeżeli przewiduje się możliwość wariantowego użycia sprzętu przy wykonywanych robotach, Wykonawca powiadomi Inspektora nadzoru o swoim zamiarze wyboru i uzyska jego akceptację. Wybrany sprzęt po akceptacji, nie może być później zmieniany bez zgody Inspektora.</w:t>
      </w:r>
    </w:p>
    <w:p>
      <w:pPr>
        <w:pStyle w:val="SpecyfikacjaSSTpodstawowy"/>
        <w:ind w:start="426" w:end="423"/>
        <w:jc w:val="start"/>
        <w:rPr>
          <w:rFonts w:ascii="Arial" w:hAnsi="Arial" w:cs="Arial"/>
        </w:rPr>
      </w:pPr>
      <w:r>
        <w:rPr>
          <w:rFonts w:cs="Arial" w:ascii="Arial" w:hAnsi="Arial"/>
        </w:rPr>
        <w:t>Jakikolwiek sprzęt, maszyny, urządzenia i narzędzia nie gwarantujące zachowania warunków technologicznych, nie zostaną przez Inspektora nadzoru dopuszczone do robót.</w:t>
      </w:r>
    </w:p>
    <w:p>
      <w:pPr>
        <w:pStyle w:val="SpecyfikacjaSSTpodstawowy"/>
        <w:ind w:start="426" w:end="423"/>
        <w:jc w:val="start"/>
        <w:rPr>
          <w:rFonts w:ascii="Arial" w:hAnsi="Arial" w:cs="Arial"/>
        </w:rPr>
      </w:pPr>
      <w:r>
        <w:rPr>
          <w:rFonts w:cs="Arial" w:ascii="Arial" w:hAnsi="Arial"/>
        </w:rPr>
        <w:t>Wykonawca jest zobligowany do skalkulowania kosztów jednorazowych sprzętu w cenie jednostkowej robót, do których ten sprzęt jest przeznaczony. Koszty transportu sprzętu nie podlegają oddzielnej zapłacie.</w:t>
      </w:r>
    </w:p>
    <w:p>
      <w:pPr>
        <w:pStyle w:val="Normal"/>
        <w:ind w:start="426" w:end="423"/>
        <w:rPr>
          <w:sz w:val="24"/>
          <w:szCs w:val="24"/>
        </w:rPr>
      </w:pPr>
      <w:r>
        <w:rPr>
          <w:sz w:val="24"/>
          <w:szCs w:val="24"/>
        </w:rPr>
      </w:r>
    </w:p>
    <w:p>
      <w:pPr>
        <w:pStyle w:val="Normal"/>
        <w:shd w:val="clear" w:color="auto" w:fill="FFFFFF"/>
        <w:ind w:start="426" w:end="423"/>
        <w:rPr>
          <w:sz w:val="24"/>
          <w:szCs w:val="24"/>
        </w:rPr>
      </w:pPr>
      <w:r>
        <w:rPr>
          <w:color w:val="000000"/>
          <w:spacing w:val="-1"/>
          <w:sz w:val="24"/>
          <w:szCs w:val="24"/>
        </w:rPr>
        <w:t>Prace można wykonywać przy pomocy wszelkiego sprzętu zaakceptowanego przez Inspektora nadzoru, oraz który spełnia wszelkie wymagania przepisów i bhp.</w:t>
      </w:r>
    </w:p>
    <w:p>
      <w:pPr>
        <w:pStyle w:val="Heading1"/>
        <w:numPr>
          <w:ilvl w:val="0"/>
          <w:numId w:val="13"/>
        </w:numPr>
        <w:ind w:hanging="360" w:start="426" w:end="423"/>
        <w:rPr>
          <w:rFonts w:ascii="Arial" w:hAnsi="Arial" w:cs="Arial"/>
          <w:sz w:val="24"/>
          <w:szCs w:val="24"/>
        </w:rPr>
      </w:pPr>
      <w:bookmarkStart w:id="78" w:name="_Toc215176929"/>
      <w:bookmarkStart w:id="79" w:name="_Toc535218207"/>
      <w:bookmarkEnd w:id="79"/>
      <w:r>
        <w:rPr>
          <w:rFonts w:cs="Arial" w:ascii="Arial" w:hAnsi="Arial"/>
          <w:sz w:val="24"/>
          <w:szCs w:val="24"/>
        </w:rPr>
        <w:t>WYMAGANIA DOTYCZĄCE TRANSPORTU</w:t>
      </w:r>
      <w:bookmarkEnd w:id="78"/>
    </w:p>
    <w:p>
      <w:pPr>
        <w:pStyle w:val="Heading2"/>
        <w:numPr>
          <w:ilvl w:val="1"/>
          <w:numId w:val="13"/>
        </w:numPr>
        <w:ind w:hanging="432" w:start="426" w:end="423"/>
        <w:rPr>
          <w:rFonts w:ascii="Arial" w:hAnsi="Arial" w:cs="Arial"/>
          <w:sz w:val="24"/>
          <w:szCs w:val="24"/>
        </w:rPr>
      </w:pPr>
      <w:bookmarkStart w:id="80" w:name="_Toc215176930"/>
      <w:bookmarkStart w:id="81" w:name="_Toc535218208"/>
      <w:bookmarkStart w:id="82" w:name="_Toc498685962"/>
      <w:bookmarkStart w:id="83" w:name="_Toc498678654"/>
      <w:bookmarkEnd w:id="82"/>
      <w:bookmarkEnd w:id="83"/>
      <w:r>
        <w:rPr>
          <w:rFonts w:cs="Arial" w:ascii="Arial" w:hAnsi="Arial"/>
          <w:sz w:val="24"/>
          <w:szCs w:val="24"/>
        </w:rPr>
        <w:t>Ogólne wymagania dotyczące transportu podano w ST „Wymagania ogólne"</w:t>
      </w:r>
      <w:bookmarkEnd w:id="80"/>
      <w:bookmarkEnd w:id="81"/>
      <w:r>
        <w:rPr>
          <w:rFonts w:cs="Arial" w:ascii="Arial" w:hAnsi="Arial"/>
          <w:sz w:val="24"/>
          <w:szCs w:val="24"/>
        </w:rPr>
        <w:t xml:space="preserve"> </w:t>
      </w:r>
    </w:p>
    <w:p>
      <w:pPr>
        <w:pStyle w:val="SpecyfikacjaSSTpodstawowy"/>
        <w:ind w:firstLine="282" w:start="426" w:end="423"/>
        <w:jc w:val="start"/>
        <w:rPr>
          <w:rFonts w:ascii="Arial" w:hAnsi="Arial" w:cs="Arial"/>
        </w:rPr>
      </w:pPr>
      <w:r>
        <w:rPr>
          <w:rFonts w:cs="Arial" w:ascii="Arial" w:hAnsi="Arial"/>
        </w:rPr>
        <w:t>Wykonawca jest zobowiązany do stosowania jedynie takich środków transportu, które nie wpłyną niekorzystnie na jakość wykonywanych robót i na właściwości przewożonych materiałów.</w:t>
      </w:r>
    </w:p>
    <w:p>
      <w:pPr>
        <w:pStyle w:val="SpecyfikacjaSSTpodstawowy"/>
        <w:ind w:start="426" w:end="423"/>
        <w:jc w:val="start"/>
        <w:rPr>
          <w:rFonts w:ascii="Arial" w:hAnsi="Arial" w:cs="Arial"/>
        </w:rPr>
      </w:pPr>
      <w:r>
        <w:rPr>
          <w:rFonts w:cs="Arial" w:ascii="Arial" w:hAnsi="Arial"/>
        </w:rPr>
        <w:t>Liczba środków transportu będzie zapewniać prowadzenie robót zgodnie z zasadami określonymi w dokumentacji projektowej, SST i wskazaniach Inspektora Nadzoru w terminie przewidzianym w umowie.</w:t>
      </w:r>
    </w:p>
    <w:p>
      <w:pPr>
        <w:pStyle w:val="Heading2"/>
        <w:numPr>
          <w:ilvl w:val="1"/>
          <w:numId w:val="13"/>
        </w:numPr>
        <w:ind w:hanging="432" w:start="426" w:end="423"/>
        <w:rPr>
          <w:rFonts w:ascii="Arial" w:hAnsi="Arial" w:cs="Arial"/>
          <w:sz w:val="24"/>
          <w:szCs w:val="24"/>
        </w:rPr>
      </w:pPr>
      <w:bookmarkStart w:id="84" w:name="_Toc215176931"/>
      <w:bookmarkStart w:id="85" w:name="_Toc535218209"/>
      <w:bookmarkEnd w:id="85"/>
      <w:r>
        <w:rPr>
          <w:rFonts w:cs="Arial" w:ascii="Arial" w:hAnsi="Arial"/>
          <w:sz w:val="24"/>
          <w:szCs w:val="24"/>
        </w:rPr>
        <w:t>Transport materiałów</w:t>
      </w:r>
      <w:bookmarkEnd w:id="84"/>
    </w:p>
    <w:p>
      <w:pPr>
        <w:pStyle w:val="Normal"/>
        <w:shd w:val="clear" w:color="auto" w:fill="FFFFFF"/>
        <w:ind w:firstLine="282" w:start="426" w:end="423"/>
        <w:rPr>
          <w:sz w:val="24"/>
          <w:szCs w:val="24"/>
        </w:rPr>
      </w:pPr>
      <w:r>
        <w:rPr>
          <w:color w:val="000000"/>
          <w:sz w:val="24"/>
          <w:szCs w:val="24"/>
        </w:rPr>
        <w:t xml:space="preserve">Podczas transportu na budowę należy zachować ostrożność aby nie uszkodzić materiałów </w:t>
      </w:r>
      <w:r>
        <w:rPr>
          <w:color w:val="000000"/>
          <w:spacing w:val="2"/>
          <w:sz w:val="24"/>
          <w:szCs w:val="24"/>
        </w:rPr>
        <w:t>do montażu. Minimalne temperatury wykonywania transportu wynoszą dla bębnów: -</w:t>
      </w:r>
      <w:r>
        <w:rPr>
          <w:color w:val="000000"/>
          <w:sz w:val="24"/>
          <w:szCs w:val="24"/>
        </w:rPr>
        <w:t>i - 5°C dla krążków, ze względu na możliwość uszkodzenia izolacji.</w:t>
      </w:r>
    </w:p>
    <w:p>
      <w:pPr>
        <w:pStyle w:val="Normal"/>
        <w:shd w:val="clear" w:color="auto" w:fill="FFFFFF"/>
        <w:ind w:start="426" w:end="423"/>
        <w:rPr>
          <w:sz w:val="24"/>
          <w:szCs w:val="24"/>
        </w:rPr>
      </w:pPr>
      <w:r>
        <w:rPr>
          <w:color w:val="000000"/>
          <w:spacing w:val="-1"/>
          <w:sz w:val="24"/>
          <w:szCs w:val="24"/>
        </w:rPr>
        <w:t>Stosować dodatkowe opakowania w przypadku możliwości uszkodzeń transportowych.</w:t>
      </w:r>
    </w:p>
    <w:p>
      <w:pPr>
        <w:pStyle w:val="Heading1"/>
        <w:numPr>
          <w:ilvl w:val="0"/>
          <w:numId w:val="13"/>
        </w:numPr>
        <w:ind w:hanging="360" w:start="426" w:end="423"/>
        <w:rPr>
          <w:rFonts w:ascii="Arial" w:hAnsi="Arial" w:cs="Arial"/>
          <w:sz w:val="24"/>
          <w:szCs w:val="24"/>
        </w:rPr>
      </w:pPr>
      <w:bookmarkStart w:id="86" w:name="_Toc215176932"/>
      <w:bookmarkStart w:id="87" w:name="_Toc535218210"/>
      <w:bookmarkEnd w:id="87"/>
      <w:r>
        <w:rPr>
          <w:rFonts w:cs="Arial" w:ascii="Arial" w:hAnsi="Arial"/>
          <w:sz w:val="24"/>
          <w:szCs w:val="24"/>
        </w:rPr>
        <w:t>WYMAGANIA DOTYCZĄCE WYKONANIA ROBÓT</w:t>
      </w:r>
      <w:bookmarkEnd w:id="86"/>
    </w:p>
    <w:p>
      <w:pPr>
        <w:pStyle w:val="Heading2"/>
        <w:numPr>
          <w:ilvl w:val="1"/>
          <w:numId w:val="13"/>
        </w:numPr>
        <w:ind w:hanging="432" w:start="426" w:end="423"/>
        <w:rPr>
          <w:rFonts w:ascii="Arial" w:hAnsi="Arial" w:cs="Arial"/>
          <w:sz w:val="24"/>
          <w:szCs w:val="24"/>
        </w:rPr>
      </w:pPr>
      <w:bookmarkStart w:id="88" w:name="_Toc215176933"/>
      <w:bookmarkStart w:id="89" w:name="_Toc535218211"/>
      <w:bookmarkStart w:id="90" w:name="_Toc498685967"/>
      <w:bookmarkStart w:id="91" w:name="_Toc498678659"/>
      <w:bookmarkEnd w:id="90"/>
      <w:bookmarkEnd w:id="91"/>
      <w:r>
        <w:rPr>
          <w:rFonts w:cs="Arial" w:ascii="Arial" w:hAnsi="Arial"/>
          <w:sz w:val="24"/>
          <w:szCs w:val="24"/>
        </w:rPr>
        <w:t>Ogólne zasady wykonania robót podano w ST „Wymagania ogólne"</w:t>
      </w:r>
      <w:bookmarkEnd w:id="88"/>
      <w:bookmarkEnd w:id="89"/>
      <w:r>
        <w:rPr>
          <w:rFonts w:cs="Arial" w:ascii="Arial" w:hAnsi="Arial"/>
          <w:sz w:val="24"/>
          <w:szCs w:val="24"/>
        </w:rPr>
        <w:t xml:space="preserve"> </w:t>
      </w:r>
    </w:p>
    <w:p>
      <w:pPr>
        <w:pStyle w:val="SpecyfikacjaSSTpodstawowy"/>
        <w:ind w:start="426" w:end="423"/>
        <w:jc w:val="start"/>
        <w:rPr>
          <w:rFonts w:ascii="Arial" w:hAnsi="Arial" w:cs="Arial"/>
        </w:rPr>
      </w:pPr>
      <w:r>
        <w:rPr>
          <w:rFonts w:cs="Arial" w:ascii="Arial" w:hAnsi="Arial"/>
        </w:rPr>
        <w:t>Przed rozpoczęciem robót wykonawca opracuje: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projekt zagospodarowania placu budowy, który powinien składać się z części opisowej i graficznej,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plan bezpieczeństwa i ochrony zdrowia (plan bioz),</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projekt organizacji budowy.</w:t>
      </w:r>
    </w:p>
    <w:p>
      <w:pPr>
        <w:pStyle w:val="SpecyfikacjaSSTpodstawowy"/>
        <w:ind w:start="426" w:end="423"/>
        <w:jc w:val="start"/>
        <w:rPr>
          <w:rFonts w:ascii="Arial" w:hAnsi="Arial" w:cs="Arial"/>
        </w:rPr>
      </w:pPr>
      <w:r>
        <w:rPr>
          <w:rFonts w:cs="Arial" w:ascii="Arial" w:hAnsi="Arial"/>
        </w:rPr>
        <w:t>Wykonawca odpowiedzialny jest za prowadzenie robót zgodne z umową oraz za jakość stosowanych materiałów i wykonywanych robót, za ich zgodność dokumentacją projektową, wymaganiami ST, programem zapewnienia jakości PZJ oraz poleceniami Inspektora Nadzoru.</w:t>
      </w:r>
    </w:p>
    <w:p>
      <w:pPr>
        <w:pStyle w:val="SpecyfikacjaSSTpodstawowy"/>
        <w:ind w:start="426" w:end="423"/>
        <w:jc w:val="start"/>
        <w:rPr>
          <w:rFonts w:ascii="Arial" w:hAnsi="Arial" w:cs="Arial"/>
        </w:rPr>
      </w:pPr>
      <w:r>
        <w:rPr>
          <w:rFonts w:cs="Arial" w:ascii="Arial" w:hAnsi="Arial"/>
        </w:rPr>
        <w:t>Wykonawca ponosi odpowiedzialność za pełną obsługę geodezyjną przy wykonywaniu wszystkich elementów robót określonych w dokumentacji projektowej lub przekazanych na piśmie przez Inspektora Nadzoru.</w:t>
      </w:r>
    </w:p>
    <w:p>
      <w:pPr>
        <w:pStyle w:val="SpecyfikacjaSSTpodstawowy"/>
        <w:ind w:start="426" w:end="423"/>
        <w:jc w:val="start"/>
        <w:rPr>
          <w:rFonts w:ascii="Arial" w:hAnsi="Arial" w:cs="Arial"/>
        </w:rPr>
      </w:pPr>
      <w:r>
        <w:rPr>
          <w:rFonts w:cs="Arial" w:ascii="Arial" w:hAnsi="Arial"/>
        </w:rPr>
        <w:t>Następstwa jakiegokolwiek błędu spowodowanego przez Wykonawcę w wytyczeniu i wykonywaniu robót zostaną, jeśli wymagać tego będzie Inspektor Nadzoru, poprawione przez Wykonawcę na własny koszt.</w:t>
      </w:r>
    </w:p>
    <w:p>
      <w:pPr>
        <w:pStyle w:val="SpecyfikacjaSSTpodstawowy"/>
        <w:ind w:start="426" w:end="423"/>
        <w:jc w:val="start"/>
        <w:rPr>
          <w:rFonts w:ascii="Arial" w:hAnsi="Arial" w:cs="Arial"/>
        </w:rPr>
      </w:pPr>
      <w:r>
        <w:rPr>
          <w:rFonts w:cs="Arial" w:ascii="Arial" w:hAnsi="Arial"/>
        </w:rPr>
        <w:t>Decyzje Inspektora Nadzoru dotyczące akceptacji lub odrzucenia materiałów i elementów robót będą oparte na wymaganiach sformułowanych w dokumentach umowy, dokumentacji projektowej i w SST, a także w normach i wytycznych.</w:t>
      </w:r>
    </w:p>
    <w:p>
      <w:pPr>
        <w:pStyle w:val="SpecyfikacjaSSTpodstawowy"/>
        <w:ind w:start="426" w:end="423"/>
        <w:jc w:val="start"/>
        <w:rPr>
          <w:rFonts w:ascii="Arial" w:hAnsi="Arial" w:cs="Arial"/>
        </w:rPr>
      </w:pPr>
      <w:r>
        <w:rPr>
          <w:rFonts w:cs="Arial" w:ascii="Arial" w:hAnsi="Arial"/>
        </w:rPr>
        <w:t>Polecenia Inspektora Nadzoru dotyczące realizacji robót będą wykonywane przez Wykonawcę nie później niż w czasie przez niego wyznaczonym, pod groźbą wstrzymania robót. Skutki finansowe z tytułu wstrzymania robót w takiej sytuacji ponosi Wykonawca.</w:t>
      </w:r>
    </w:p>
    <w:p>
      <w:pPr>
        <w:pStyle w:val="SpecyfikacjaSSTpodstawowy"/>
        <w:ind w:start="426" w:end="423"/>
        <w:jc w:val="start"/>
        <w:rPr>
          <w:rFonts w:ascii="Arial" w:hAnsi="Arial" w:cs="Arial"/>
        </w:rPr>
      </w:pPr>
      <w:r>
        <w:rPr>
          <w:rFonts w:cs="Arial" w:ascii="Arial" w:hAnsi="Arial"/>
        </w:rPr>
        <w:t>W przypadku opóźnień realizacyjnych budowy, stwarzających zagrożenie dla finalnego zakończenia robót, Inspektor ma prawo wprowadzić podwykonawcę na określone roboty na koszt Wykonawcy.</w:t>
      </w:r>
    </w:p>
    <w:p>
      <w:pPr>
        <w:pStyle w:val="Heading2"/>
        <w:numPr>
          <w:ilvl w:val="1"/>
          <w:numId w:val="13"/>
        </w:numPr>
        <w:ind w:hanging="432" w:start="426" w:end="423"/>
        <w:rPr>
          <w:rFonts w:ascii="Arial" w:hAnsi="Arial" w:cs="Arial"/>
          <w:sz w:val="24"/>
          <w:szCs w:val="24"/>
        </w:rPr>
      </w:pPr>
      <w:bookmarkStart w:id="92" w:name="_Toc215176934"/>
      <w:bookmarkStart w:id="93" w:name="_Toc535218212"/>
      <w:bookmarkEnd w:id="93"/>
      <w:r>
        <w:rPr>
          <w:rFonts w:cs="Arial" w:ascii="Arial" w:hAnsi="Arial"/>
          <w:sz w:val="24"/>
          <w:szCs w:val="24"/>
        </w:rPr>
        <w:t>Przygotowanie podłoża, montaż przewodów</w:t>
      </w:r>
      <w:bookmarkEnd w:id="92"/>
    </w:p>
    <w:p>
      <w:pPr>
        <w:pStyle w:val="Normal"/>
        <w:shd w:val="clear" w:color="auto" w:fill="FFFFFF"/>
        <w:ind w:firstLine="282" w:start="426" w:end="423"/>
        <w:rPr>
          <w:sz w:val="24"/>
          <w:szCs w:val="24"/>
        </w:rPr>
      </w:pPr>
      <w:r>
        <w:rPr>
          <w:color w:val="000000"/>
          <w:sz w:val="24"/>
          <w:szCs w:val="24"/>
        </w:rPr>
        <w:t>Przygotowanie podłoża - zespół czynności wykonywanych przed zamocowaniem osprzętu instalacyjnego, urządzenia elektrycznego, odbiornika energii elektrycznej, układaniem kabli i przewodów mających na celu zapewnienie możliwości ich zamocowania zgodnie z dokumentacja</w:t>
      </w:r>
    </w:p>
    <w:p>
      <w:pPr>
        <w:pStyle w:val="Normal"/>
        <w:shd w:val="clear" w:color="auto" w:fill="FFFFFF"/>
        <w:ind w:start="426" w:end="423"/>
        <w:rPr>
          <w:sz w:val="24"/>
          <w:szCs w:val="24"/>
        </w:rPr>
      </w:pPr>
      <w:r>
        <w:rPr>
          <w:color w:val="000000"/>
          <w:sz w:val="24"/>
          <w:szCs w:val="24"/>
        </w:rPr>
        <w:t>Do prac przygotowawczych tu zalicza się następujące grupy czynności:</w:t>
      </w:r>
    </w:p>
    <w:p>
      <w:pPr>
        <w:pStyle w:val="Normal"/>
        <w:shd w:val="clear" w:color="auto" w:fill="FFFFFF"/>
        <w:ind w:start="426" w:end="423"/>
        <w:rPr>
          <w:sz w:val="24"/>
          <w:szCs w:val="24"/>
        </w:rPr>
      </w:pPr>
      <w:r>
        <w:rPr>
          <w:color w:val="000000"/>
          <w:sz w:val="24"/>
          <w:szCs w:val="24"/>
        </w:rPr>
        <w:t xml:space="preserve">• </w:t>
      </w:r>
      <w:r>
        <w:rPr>
          <w:color w:val="000000"/>
          <w:sz w:val="24"/>
          <w:szCs w:val="24"/>
        </w:rPr>
        <w:t>Wiercenie i przebijanie otworów przelotowych i nieprzelotowych,</w:t>
      </w:r>
    </w:p>
    <w:p>
      <w:pPr>
        <w:pStyle w:val="Normal"/>
        <w:shd w:val="clear" w:color="auto" w:fill="FFFFFF"/>
        <w:ind w:start="426" w:end="423"/>
        <w:rPr>
          <w:sz w:val="24"/>
          <w:szCs w:val="24"/>
        </w:rPr>
      </w:pPr>
      <w:r>
        <w:rPr>
          <w:color w:val="000000"/>
          <w:sz w:val="24"/>
          <w:szCs w:val="24"/>
        </w:rPr>
        <w:t xml:space="preserve">• </w:t>
      </w:r>
      <w:r>
        <w:rPr>
          <w:color w:val="000000"/>
          <w:sz w:val="24"/>
          <w:szCs w:val="24"/>
        </w:rPr>
        <w:t>Kucie bruzd i wnęk,</w:t>
      </w:r>
    </w:p>
    <w:p>
      <w:pPr>
        <w:pStyle w:val="Normal"/>
        <w:shd w:val="clear" w:color="auto" w:fill="FFFFFF"/>
        <w:ind w:start="426" w:end="423"/>
        <w:rPr>
          <w:sz w:val="24"/>
          <w:szCs w:val="24"/>
        </w:rPr>
      </w:pPr>
      <w:r>
        <w:rPr>
          <w:color w:val="000000"/>
          <w:sz w:val="24"/>
          <w:szCs w:val="24"/>
        </w:rPr>
        <w:t xml:space="preserve">• </w:t>
      </w:r>
      <w:r>
        <w:rPr>
          <w:color w:val="000000"/>
          <w:sz w:val="24"/>
          <w:szCs w:val="24"/>
        </w:rPr>
        <w:t>Osadzanie kołków w podlotu, w tym ich wstrzeliwanie,</w:t>
      </w:r>
    </w:p>
    <w:p>
      <w:pPr>
        <w:pStyle w:val="Normal"/>
        <w:shd w:val="clear" w:color="auto" w:fill="FFFFFF"/>
        <w:ind w:start="426" w:end="423"/>
        <w:rPr>
          <w:sz w:val="24"/>
          <w:szCs w:val="24"/>
        </w:rPr>
      </w:pPr>
      <w:r>
        <w:rPr>
          <w:color w:val="000000"/>
          <w:sz w:val="24"/>
          <w:szCs w:val="24"/>
        </w:rPr>
        <w:t xml:space="preserve">• </w:t>
      </w:r>
      <w:r>
        <w:rPr>
          <w:color w:val="000000"/>
          <w:sz w:val="24"/>
          <w:szCs w:val="24"/>
        </w:rPr>
        <w:t>Montaż uchwytów do rur i przewodów,</w:t>
      </w:r>
    </w:p>
    <w:p>
      <w:pPr>
        <w:pStyle w:val="Normal"/>
        <w:shd w:val="clear" w:color="auto" w:fill="FFFFFF"/>
        <w:ind w:start="426" w:end="423"/>
        <w:rPr>
          <w:sz w:val="24"/>
          <w:szCs w:val="24"/>
        </w:rPr>
      </w:pPr>
      <w:r>
        <w:rPr>
          <w:color w:val="000000"/>
          <w:sz w:val="24"/>
          <w:szCs w:val="24"/>
        </w:rPr>
        <w:t xml:space="preserve">• </w:t>
      </w:r>
      <w:r>
        <w:rPr>
          <w:color w:val="000000"/>
          <w:sz w:val="24"/>
          <w:szCs w:val="24"/>
        </w:rPr>
        <w:t>Montaż konstrukcji wsporczych do korytek, drabinek, instalacji wiązkowych, szynoprzewodów,</w:t>
      </w:r>
    </w:p>
    <w:p>
      <w:pPr>
        <w:pStyle w:val="Normal"/>
        <w:shd w:val="clear" w:color="auto" w:fill="FFFFFF"/>
        <w:ind w:start="426" w:end="423"/>
        <w:rPr>
          <w:sz w:val="24"/>
          <w:szCs w:val="24"/>
        </w:rPr>
      </w:pPr>
      <w:r>
        <w:rPr>
          <w:color w:val="000000"/>
          <w:sz w:val="24"/>
          <w:szCs w:val="24"/>
        </w:rPr>
        <w:t xml:space="preserve">• </w:t>
      </w:r>
      <w:r>
        <w:rPr>
          <w:color w:val="000000"/>
          <w:sz w:val="24"/>
          <w:szCs w:val="24"/>
        </w:rPr>
        <w:t>Montaż korytek, drabinek, listew i rur instalacyjnych,</w:t>
      </w:r>
    </w:p>
    <w:p>
      <w:pPr>
        <w:pStyle w:val="Normal"/>
        <w:shd w:val="clear" w:color="auto" w:fill="FFFFFF"/>
        <w:ind w:start="426" w:end="423"/>
        <w:rPr>
          <w:sz w:val="24"/>
          <w:szCs w:val="24"/>
        </w:rPr>
      </w:pPr>
      <w:r>
        <w:rPr>
          <w:color w:val="000000"/>
          <w:sz w:val="24"/>
          <w:szCs w:val="24"/>
        </w:rPr>
        <w:t xml:space="preserve">• </w:t>
      </w:r>
      <w:r>
        <w:rPr>
          <w:color w:val="000000"/>
          <w:sz w:val="24"/>
          <w:szCs w:val="24"/>
        </w:rPr>
        <w:t>Oczyszczenie podłoża - przygotowanie do klejenia.</w:t>
      </w:r>
    </w:p>
    <w:p>
      <w:pPr>
        <w:pStyle w:val="Normal"/>
        <w:shd w:val="clear" w:color="auto" w:fill="FFFFFF"/>
        <w:ind w:start="426" w:end="423"/>
        <w:rPr>
          <w:sz w:val="24"/>
          <w:szCs w:val="24"/>
        </w:rPr>
      </w:pPr>
      <w:r>
        <w:rPr>
          <w:color w:val="000000"/>
          <w:sz w:val="24"/>
          <w:szCs w:val="24"/>
        </w:rPr>
        <w:t xml:space="preserve">• </w:t>
      </w:r>
      <w:r>
        <w:rPr>
          <w:color w:val="000000"/>
          <w:sz w:val="24"/>
          <w:szCs w:val="24"/>
        </w:rPr>
        <w:t>Montaż rusztowań  w pomieszczeniach o wysokości powyżej 3,5m</w:t>
      </w:r>
    </w:p>
    <w:p>
      <w:pPr>
        <w:pStyle w:val="Normal"/>
        <w:shd w:val="clear" w:color="auto" w:fill="FFFFFF"/>
        <w:ind w:start="426" w:end="423"/>
        <w:rPr>
          <w:sz w:val="24"/>
          <w:szCs w:val="24"/>
        </w:rPr>
      </w:pPr>
      <w:r>
        <w:rPr>
          <w:color w:val="000000"/>
          <w:spacing w:val="-1"/>
          <w:sz w:val="24"/>
          <w:szCs w:val="24"/>
        </w:rPr>
        <w:t>Zakres robót obejmuje:</w:t>
      </w:r>
    </w:p>
    <w:p>
      <w:pPr>
        <w:pStyle w:val="Normal"/>
        <w:numPr>
          <w:ilvl w:val="0"/>
          <w:numId w:val="4"/>
        </w:numPr>
        <w:shd w:val="clear" w:color="auto" w:fill="FFFFFF"/>
        <w:ind w:start="426" w:end="423"/>
        <w:rPr>
          <w:sz w:val="24"/>
          <w:szCs w:val="24"/>
        </w:rPr>
      </w:pPr>
      <w:r>
        <w:rPr>
          <w:color w:val="000000"/>
          <w:spacing w:val="-1"/>
          <w:sz w:val="24"/>
          <w:szCs w:val="24"/>
        </w:rPr>
        <w:t>przemieszczenie w strefie montażowej,</w:t>
      </w:r>
    </w:p>
    <w:p>
      <w:pPr>
        <w:pStyle w:val="Normal"/>
        <w:numPr>
          <w:ilvl w:val="0"/>
          <w:numId w:val="4"/>
        </w:numPr>
        <w:shd w:val="clear" w:color="auto" w:fill="FFFFFF"/>
        <w:ind w:start="426" w:end="423"/>
        <w:rPr>
          <w:sz w:val="24"/>
          <w:szCs w:val="24"/>
        </w:rPr>
      </w:pPr>
      <w:r>
        <w:rPr>
          <w:color w:val="000000"/>
          <w:sz w:val="24"/>
          <w:szCs w:val="24"/>
        </w:rPr>
        <w:t>złożenie na miejscu montażu wg projektu,</w:t>
      </w:r>
    </w:p>
    <w:p>
      <w:pPr>
        <w:pStyle w:val="Normal"/>
        <w:numPr>
          <w:ilvl w:val="0"/>
          <w:numId w:val="4"/>
        </w:numPr>
        <w:shd w:val="clear" w:color="auto" w:fill="FFFFFF"/>
        <w:ind w:hanging="288" w:start="426" w:end="423"/>
        <w:rPr>
          <w:sz w:val="24"/>
          <w:szCs w:val="24"/>
        </w:rPr>
      </w:pPr>
      <w:r>
        <w:rPr>
          <w:color w:val="000000"/>
          <w:spacing w:val="-1"/>
          <w:sz w:val="24"/>
          <w:szCs w:val="24"/>
        </w:rPr>
        <w:t>wyznaczenie miejsca zainstalowania, trasowanie linii przebiegu instalacji i miejsc montażu osprzętu,</w:t>
      </w:r>
    </w:p>
    <w:p>
      <w:pPr>
        <w:pStyle w:val="Normal"/>
        <w:numPr>
          <w:ilvl w:val="0"/>
          <w:numId w:val="4"/>
        </w:numPr>
        <w:shd w:val="clear" w:color="auto" w:fill="FFFFFF"/>
        <w:ind w:hanging="288" w:start="426" w:end="423"/>
        <w:rPr>
          <w:sz w:val="24"/>
          <w:szCs w:val="24"/>
        </w:rPr>
      </w:pPr>
      <w:r>
        <w:rPr>
          <w:color w:val="000000"/>
          <w:spacing w:val="4"/>
          <w:sz w:val="24"/>
          <w:szCs w:val="24"/>
        </w:rPr>
        <w:t>roboty przygotowawcze o charakterze ogólnobudowlanym jak: kucie bruzd w podło</w:t>
      </w:r>
      <w:r>
        <w:rPr>
          <w:color w:val="000000"/>
          <w:spacing w:val="5"/>
          <w:sz w:val="24"/>
          <w:szCs w:val="24"/>
        </w:rPr>
        <w:t>żu, przekucia ścian i stropów, osadzenie przepustów, zdejmowanie przykryć kana</w:t>
      </w:r>
      <w:r>
        <w:rPr>
          <w:color w:val="000000"/>
          <w:spacing w:val="7"/>
          <w:sz w:val="24"/>
          <w:szCs w:val="24"/>
        </w:rPr>
        <w:t xml:space="preserve">łów instalacyjnych, wykonanie ślepych otworów poprzez podkucie we wnęce albo </w:t>
      </w:r>
      <w:r>
        <w:rPr>
          <w:color w:val="000000"/>
          <w:spacing w:val="3"/>
          <w:sz w:val="24"/>
          <w:szCs w:val="24"/>
        </w:rPr>
        <w:t xml:space="preserve">kucie ręczne lub mechaniczne, wiercenie mechaniczne otworów w sufitach, ścianach </w:t>
      </w:r>
      <w:r>
        <w:rPr>
          <w:color w:val="000000"/>
          <w:spacing w:val="2"/>
          <w:sz w:val="24"/>
          <w:szCs w:val="24"/>
        </w:rPr>
        <w:t>lub podłożach,</w:t>
      </w:r>
    </w:p>
    <w:p>
      <w:pPr>
        <w:pStyle w:val="Normal"/>
        <w:numPr>
          <w:ilvl w:val="0"/>
          <w:numId w:val="4"/>
        </w:numPr>
        <w:shd w:val="clear" w:color="auto" w:fill="FFFFFF"/>
        <w:ind w:hanging="288" w:start="426" w:end="423"/>
        <w:rPr>
          <w:sz w:val="24"/>
          <w:szCs w:val="24"/>
        </w:rPr>
      </w:pPr>
      <w:r>
        <w:rPr>
          <w:color w:val="000000"/>
          <w:spacing w:val="1"/>
          <w:sz w:val="24"/>
          <w:szCs w:val="24"/>
        </w:rPr>
        <w:t xml:space="preserve">osadzenie kołków osadczych plastikowych oraz dybli, śrub kotwiących lub wsporników, </w:t>
      </w:r>
      <w:r>
        <w:rPr>
          <w:color w:val="000000"/>
          <w:sz w:val="24"/>
          <w:szCs w:val="24"/>
        </w:rPr>
        <w:t>konsoli, wieszaków wraz z zabetonowaniem,</w:t>
      </w:r>
    </w:p>
    <w:p>
      <w:pPr>
        <w:pStyle w:val="Normal"/>
        <w:numPr>
          <w:ilvl w:val="0"/>
          <w:numId w:val="4"/>
        </w:numPr>
        <w:shd w:val="clear" w:color="auto" w:fill="FFFFFF"/>
        <w:ind w:hanging="288" w:start="426" w:end="423"/>
        <w:rPr>
          <w:sz w:val="24"/>
          <w:szCs w:val="24"/>
        </w:rPr>
      </w:pPr>
      <w:r>
        <w:rPr>
          <w:color w:val="000000"/>
          <w:spacing w:val="7"/>
          <w:sz w:val="24"/>
          <w:szCs w:val="24"/>
        </w:rPr>
        <w:t xml:space="preserve">montaż na gotowym podłożu elementów osprzętu instalacyjnego do montażu kabli </w:t>
      </w:r>
      <w:r>
        <w:rPr>
          <w:color w:val="000000"/>
          <w:spacing w:val="-1"/>
          <w:sz w:val="24"/>
          <w:szCs w:val="24"/>
        </w:rPr>
        <w:t>i przewodów (pkt 2.2.2.),</w:t>
      </w:r>
    </w:p>
    <w:p>
      <w:pPr>
        <w:pStyle w:val="Normal"/>
        <w:numPr>
          <w:ilvl w:val="0"/>
          <w:numId w:val="4"/>
        </w:numPr>
        <w:shd w:val="clear" w:color="auto" w:fill="FFFFFF"/>
        <w:ind w:hanging="288" w:start="426" w:end="423"/>
        <w:rPr>
          <w:sz w:val="24"/>
          <w:szCs w:val="24"/>
        </w:rPr>
      </w:pPr>
      <w:r>
        <w:rPr>
          <w:color w:val="000000"/>
          <w:sz w:val="24"/>
          <w:szCs w:val="24"/>
        </w:rPr>
        <w:t>łuki z rur sztywnych należy wykonywać przy użyciu gotowych kolanek lub przez wygina</w:t>
      </w:r>
      <w:r>
        <w:rPr>
          <w:color w:val="000000"/>
          <w:spacing w:val="1"/>
          <w:sz w:val="24"/>
          <w:szCs w:val="24"/>
        </w:rPr>
        <w:t xml:space="preserve">nie rur w trakcie ich układania. Przy kształtowaniu łuku spłaszczenie rury nie może być większe niż 15% wewnętrznej średnicy rury. Najmniejsze dopuszczalne promienie łuku </w:t>
      </w:r>
      <w:r>
        <w:rPr>
          <w:color w:val="000000"/>
          <w:sz w:val="24"/>
          <w:szCs w:val="24"/>
        </w:rPr>
        <w:t>podane są w tablicy poniżej.</w:t>
      </w:r>
    </w:p>
    <w:p>
      <w:pPr>
        <w:pStyle w:val="Normal"/>
        <w:shd w:val="clear" w:color="auto" w:fill="FFFFFF"/>
        <w:ind w:start="426" w:end="423"/>
        <w:rPr>
          <w:sz w:val="24"/>
          <w:szCs w:val="24"/>
        </w:rPr>
      </w:pPr>
      <w:r>
        <w:rPr>
          <w:b/>
          <w:bCs/>
          <w:color w:val="000000"/>
          <w:sz w:val="24"/>
          <w:szCs w:val="24"/>
        </w:rPr>
        <w:t>Najmniejsze dopuszczalne promienie łuku</w:t>
      </w:r>
    </w:p>
    <w:p>
      <w:pPr>
        <w:pStyle w:val="Normal"/>
        <w:shd w:val="clear" w:color="auto" w:fill="FFFFFF"/>
        <w:ind w:start="426" w:end="423"/>
        <w:rPr>
          <w:sz w:val="24"/>
          <w:szCs w:val="24"/>
        </w:rPr>
      </w:pPr>
      <w:r>
        <w:rPr>
          <w:color w:val="000000"/>
          <w:spacing w:val="1"/>
          <w:sz w:val="24"/>
          <w:szCs w:val="24"/>
        </w:rPr>
        <w:t>Należy stosować dodatkowe opakowania w przypadku możliwości uszkodzeń transpor</w:t>
      </w:r>
      <w:r>
        <w:rPr>
          <w:color w:val="000000"/>
          <w:spacing w:val="-2"/>
          <w:sz w:val="24"/>
          <w:szCs w:val="24"/>
        </w:rPr>
        <w:t>towych.</w:t>
      </w:r>
    </w:p>
    <w:p>
      <w:pPr>
        <w:pStyle w:val="Normal"/>
        <w:ind w:start="426" w:end="423"/>
        <w:rPr>
          <w:sz w:val="24"/>
          <w:szCs w:val="24"/>
        </w:rPr>
      </w:pPr>
      <w:r>
        <w:rPr>
          <w:sz w:val="24"/>
          <w:szCs w:val="24"/>
        </w:rPr>
        <mc:AlternateContent>
          <mc:Choice Requires="wps">
            <w:drawing>
              <wp:anchor behindDoc="0" distT="0" distB="0" distL="89535" distR="89535" simplePos="0" locked="0" layoutInCell="0" allowOverlap="1" relativeHeight="2">
                <wp:simplePos x="0" y="0"/>
                <wp:positionH relativeFrom="page">
                  <wp:posOffset>1491615</wp:posOffset>
                </wp:positionH>
                <wp:positionV relativeFrom="paragraph">
                  <wp:posOffset>99060</wp:posOffset>
                </wp:positionV>
                <wp:extent cx="4500880" cy="589915"/>
                <wp:effectExtent l="0" t="0" r="0" b="0"/>
                <wp:wrapSquare wrapText="bothSides"/>
                <wp:docPr id="1" name="Ramka1" title="Tabela - średnice i łuki rur osłonowych."/>
                <a:graphic xmlns:a="http://schemas.openxmlformats.org/drawingml/2006/main">
                  <a:graphicData uri="http://schemas.microsoft.com/office/word/2010/wordprocessingShape">
                    <wps:wsp>
                      <wps:cNvSpPr/>
                      <wps:spPr>
                        <a:xfrm>
                          <a:off x="0" y="0"/>
                          <a:ext cx="4500720" cy="590040"/>
                        </a:xfrm>
                        <a:prstGeom prst="rect">
                          <a:avLst/>
                        </a:prstGeom>
                        <a:noFill/>
                        <a:ln w="0">
                          <a:noFill/>
                        </a:ln>
                      </wps:spPr>
                      <wps:style>
                        <a:lnRef idx="0"/>
                        <a:fillRef idx="0"/>
                        <a:effectRef idx="0"/>
                        <a:fontRef idx="minor"/>
                      </wps:style>
                      <wps:txbx>
                        <w:txbxContent>
                          <w:tbl>
                            <w:tblPr>
                              <w:tblW w:w="7087" w:type="dxa"/>
                              <w:jc w:val="start"/>
                              <w:tblInd w:w="0" w:type="dxa"/>
                              <w:tblLayout w:type="fixed"/>
                              <w:tblCellMar>
                                <w:top w:w="0" w:type="dxa"/>
                                <w:start w:w="32" w:type="dxa"/>
                                <w:bottom w:w="0" w:type="dxa"/>
                                <w:end w:w="40" w:type="dxa"/>
                              </w:tblCellMar>
                              <w:tblLook w:firstRow="0" w:noVBand="0" w:lastRow="0" w:firstColumn="0" w:lastColumn="0" w:noHBand="0" w:val="0000"/>
                            </w:tblPr>
                            <w:tblGrid>
                              <w:gridCol w:w="3420"/>
                              <w:gridCol w:w="613"/>
                              <w:gridCol w:w="611"/>
                              <w:gridCol w:w="613"/>
                              <w:gridCol w:w="606"/>
                              <w:gridCol w:w="611"/>
                              <w:gridCol w:w="612"/>
                            </w:tblGrid>
                            <w:tr>
                              <w:trPr>
                                <w:trHeight w:val="338" w:hRule="exact"/>
                              </w:trPr>
                              <w:tc>
                                <w:tcPr>
                                  <w:tcW w:w="3420"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jc w:val="both"/>
                                    <w:rPr>
                                      <w:rFonts w:ascii="Calibri" w:hAnsi="Calibri" w:cs="Times New Roman" w:asciiTheme="minorHAnsi" w:hAnsiTheme="minorHAnsi"/>
                                    </w:rPr>
                                  </w:pPr>
                                  <w:r>
                                    <w:rPr>
                                      <w:rFonts w:cs="Times New Roman" w:ascii="Calibri" w:hAnsi="Calibri" w:asciiTheme="minorHAnsi" w:hAnsiTheme="minorHAnsi"/>
                                      <w:color w:val="000000"/>
                                      <w:spacing w:val="-1"/>
                                    </w:rPr>
                                    <w:t>Średnica znamionowa rury (mm)</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112"/>
                                    <w:jc w:val="both"/>
                                    <w:rPr>
                                      <w:rFonts w:ascii="Calibri" w:hAnsi="Calibri" w:cs="Times New Roman" w:asciiTheme="minorHAnsi" w:hAnsiTheme="minorHAnsi"/>
                                    </w:rPr>
                                  </w:pPr>
                                  <w:r>
                                    <w:rPr>
                                      <w:rFonts w:cs="Times New Roman" w:ascii="Calibri" w:hAnsi="Calibri" w:asciiTheme="minorHAnsi" w:hAnsiTheme="minorHAnsi"/>
                                      <w:color w:val="000000"/>
                                    </w:rPr>
                                    <w:t>18</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21</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22</w:t>
                                  </w:r>
                                </w:p>
                              </w:tc>
                              <w:tc>
                                <w:tcPr>
                                  <w:tcW w:w="606"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4"/>
                                    <w:jc w:val="both"/>
                                    <w:rPr>
                                      <w:rFonts w:ascii="Calibri" w:hAnsi="Calibri" w:cs="Times New Roman" w:asciiTheme="minorHAnsi" w:hAnsiTheme="minorHAnsi"/>
                                    </w:rPr>
                                  </w:pPr>
                                  <w:r>
                                    <w:rPr>
                                      <w:rFonts w:cs="Times New Roman" w:ascii="Calibri" w:hAnsi="Calibri" w:asciiTheme="minorHAnsi" w:hAnsiTheme="minorHAnsi"/>
                                      <w:color w:val="000000"/>
                                    </w:rPr>
                                    <w:t>28</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37</w:t>
                                  </w:r>
                                </w:p>
                              </w:tc>
                              <w:tc>
                                <w:tcPr>
                                  <w:tcW w:w="612"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83"/>
                                    <w:jc w:val="both"/>
                                    <w:rPr>
                                      <w:rFonts w:ascii="Calibri" w:hAnsi="Calibri" w:cs="Times New Roman" w:asciiTheme="minorHAnsi" w:hAnsiTheme="minorHAnsi"/>
                                    </w:rPr>
                                  </w:pPr>
                                  <w:r>
                                    <w:rPr>
                                      <w:rFonts w:cs="Times New Roman" w:ascii="Calibri" w:hAnsi="Calibri" w:asciiTheme="minorHAnsi" w:hAnsiTheme="minorHAnsi"/>
                                      <w:color w:val="000000"/>
                                    </w:rPr>
                                    <w:t>47</w:t>
                                  </w:r>
                                </w:p>
                              </w:tc>
                            </w:tr>
                            <w:tr>
                              <w:trPr>
                                <w:trHeight w:val="346" w:hRule="exact"/>
                              </w:trPr>
                              <w:tc>
                                <w:tcPr>
                                  <w:tcW w:w="3420"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jc w:val="both"/>
                                    <w:rPr>
                                      <w:rFonts w:ascii="Calibri" w:hAnsi="Calibri" w:cs="Times New Roman" w:asciiTheme="minorHAnsi" w:hAnsiTheme="minorHAnsi"/>
                                    </w:rPr>
                                  </w:pPr>
                                  <w:r>
                                    <w:rPr>
                                      <w:rFonts w:cs="Times New Roman" w:ascii="Calibri" w:hAnsi="Calibri" w:asciiTheme="minorHAnsi" w:hAnsiTheme="minorHAnsi"/>
                                      <w:color w:val="000000"/>
                                      <w:spacing w:val="-2"/>
                                    </w:rPr>
                                    <w:t>Promień łuku (mm)</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58"/>
                                    <w:jc w:val="both"/>
                                    <w:rPr>
                                      <w:rFonts w:ascii="Calibri" w:hAnsi="Calibri" w:cs="Times New Roman" w:asciiTheme="minorHAnsi" w:hAnsiTheme="minorHAnsi"/>
                                    </w:rPr>
                                  </w:pPr>
                                  <w:r>
                                    <w:rPr>
                                      <w:rFonts w:cs="Times New Roman" w:ascii="Calibri" w:hAnsi="Calibri" w:asciiTheme="minorHAnsi" w:hAnsiTheme="minorHAnsi"/>
                                      <w:color w:val="000000"/>
                                    </w:rPr>
                                    <w:t>190</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61"/>
                                    <w:jc w:val="both"/>
                                    <w:rPr>
                                      <w:rFonts w:ascii="Calibri" w:hAnsi="Calibri" w:cs="Times New Roman" w:asciiTheme="minorHAnsi" w:hAnsiTheme="minorHAnsi"/>
                                    </w:rPr>
                                  </w:pPr>
                                  <w:r>
                                    <w:rPr>
                                      <w:rFonts w:cs="Times New Roman" w:ascii="Calibri" w:hAnsi="Calibri" w:asciiTheme="minorHAnsi" w:hAnsiTheme="minorHAnsi"/>
                                      <w:color w:val="000000"/>
                                    </w:rPr>
                                    <w:t>190</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3"/>
                                    <w:jc w:val="both"/>
                                    <w:rPr>
                                      <w:rFonts w:ascii="Calibri" w:hAnsi="Calibri" w:cs="Times New Roman" w:asciiTheme="minorHAnsi" w:hAnsiTheme="minorHAnsi"/>
                                    </w:rPr>
                                  </w:pPr>
                                  <w:r>
                                    <w:rPr>
                                      <w:rFonts w:cs="Times New Roman" w:ascii="Calibri" w:hAnsi="Calibri" w:asciiTheme="minorHAnsi" w:hAnsiTheme="minorHAnsi"/>
                                      <w:color w:val="000000"/>
                                    </w:rPr>
                                    <w:t>250</w:t>
                                  </w:r>
                                </w:p>
                              </w:tc>
                              <w:tc>
                                <w:tcPr>
                                  <w:tcW w:w="606"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3"/>
                                    <w:jc w:val="both"/>
                                    <w:rPr>
                                      <w:rFonts w:ascii="Calibri" w:hAnsi="Calibri" w:cs="Times New Roman" w:asciiTheme="minorHAnsi" w:hAnsiTheme="minorHAnsi"/>
                                    </w:rPr>
                                  </w:pPr>
                                  <w:r>
                                    <w:rPr>
                                      <w:rFonts w:cs="Times New Roman" w:ascii="Calibri" w:hAnsi="Calibri" w:asciiTheme="minorHAnsi" w:hAnsiTheme="minorHAnsi"/>
                                      <w:color w:val="000000"/>
                                    </w:rPr>
                                    <w:t>250</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7"/>
                                    <w:jc w:val="both"/>
                                    <w:rPr>
                                      <w:rFonts w:ascii="Calibri" w:hAnsi="Calibri" w:cs="Times New Roman" w:asciiTheme="minorHAnsi" w:hAnsiTheme="minorHAnsi"/>
                                    </w:rPr>
                                  </w:pPr>
                                  <w:r>
                                    <w:rPr>
                                      <w:rFonts w:cs="Times New Roman" w:ascii="Calibri" w:hAnsi="Calibri" w:asciiTheme="minorHAnsi" w:hAnsiTheme="minorHAnsi"/>
                                      <w:color w:val="000000"/>
                                    </w:rPr>
                                    <w:t>350</w:t>
                                  </w:r>
                                </w:p>
                              </w:tc>
                              <w:tc>
                                <w:tcPr>
                                  <w:tcW w:w="612"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36"/>
                                    <w:jc w:val="both"/>
                                    <w:rPr>
                                      <w:rFonts w:ascii="Calibri" w:hAnsi="Calibri" w:cs="Times New Roman" w:asciiTheme="minorHAnsi" w:hAnsiTheme="minorHAnsi"/>
                                    </w:rPr>
                                  </w:pPr>
                                  <w:r>
                                    <w:rPr>
                                      <w:rFonts w:cs="Times New Roman" w:ascii="Calibri" w:hAnsi="Calibri" w:asciiTheme="minorHAnsi" w:hAnsiTheme="minorHAnsi"/>
                                      <w:color w:val="000000"/>
                                    </w:rPr>
                                    <w:t>450</w:t>
                                  </w:r>
                                </w:p>
                              </w:tc>
                            </w:tr>
                          </w:tbl>
                          <w:p>
                            <w:pPr>
                              <w:pStyle w:val="Zawartoramki"/>
                              <w:rPr>
                                <w:color w:val="000000"/>
                              </w:rPr>
                            </w:pPr>
                            <w:r>
                              <w:rPr>
                                <w:color w:val="000000"/>
                              </w:rPr>
                            </w:r>
                          </w:p>
                        </w:txbxContent>
                      </wps:txbx>
                      <wps:bodyPr lIns="0" rIns="0" tIns="0" bIns="0" anchor="t">
                        <a:noAutofit/>
                      </wps:bodyPr>
                    </wps:wsp>
                  </a:graphicData>
                </a:graphic>
              </wp:anchor>
            </w:drawing>
          </mc:Choice>
          <mc:Fallback>
            <w:pict>
              <v:rect id="shape_0" ID="Ramka1" path="m0,0l-2147483645,0l-2147483645,-2147483646l0,-2147483646xe" stroked="f" o:allowincell="f" style="position:absolute;margin-left:117.45pt;margin-top:7.8pt;width:354.35pt;height:46.4pt;mso-wrap-style:none;v-text-anchor:middle;mso-position-horizontal-relative:page">
                <v:fill o:detectmouseclick="t" on="false"/>
                <v:stroke color="#3465a4" joinstyle="round" endcap="flat"/>
                <v:textbox>
                  <w:txbxContent>
                    <w:tbl>
                      <w:tblPr>
                        <w:tblW w:w="7087" w:type="dxa"/>
                        <w:jc w:val="start"/>
                        <w:tblInd w:w="0" w:type="dxa"/>
                        <w:tblLayout w:type="fixed"/>
                        <w:tblCellMar>
                          <w:top w:w="0" w:type="dxa"/>
                          <w:start w:w="32" w:type="dxa"/>
                          <w:bottom w:w="0" w:type="dxa"/>
                          <w:end w:w="40" w:type="dxa"/>
                        </w:tblCellMar>
                        <w:tblLook w:firstRow="0" w:noVBand="0" w:lastRow="0" w:firstColumn="0" w:lastColumn="0" w:noHBand="0" w:val="0000"/>
                      </w:tblPr>
                      <w:tblGrid>
                        <w:gridCol w:w="3420"/>
                        <w:gridCol w:w="613"/>
                        <w:gridCol w:w="611"/>
                        <w:gridCol w:w="613"/>
                        <w:gridCol w:w="606"/>
                        <w:gridCol w:w="611"/>
                        <w:gridCol w:w="612"/>
                      </w:tblGrid>
                      <w:tr>
                        <w:trPr>
                          <w:trHeight w:val="338" w:hRule="exact"/>
                        </w:trPr>
                        <w:tc>
                          <w:tcPr>
                            <w:tcW w:w="3420"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jc w:val="both"/>
                              <w:rPr>
                                <w:rFonts w:ascii="Calibri" w:hAnsi="Calibri" w:cs="Times New Roman" w:asciiTheme="minorHAnsi" w:hAnsiTheme="minorHAnsi"/>
                              </w:rPr>
                            </w:pPr>
                            <w:r>
                              <w:rPr>
                                <w:rFonts w:cs="Times New Roman" w:ascii="Calibri" w:hAnsi="Calibri" w:asciiTheme="minorHAnsi" w:hAnsiTheme="minorHAnsi"/>
                                <w:color w:val="000000"/>
                                <w:spacing w:val="-1"/>
                              </w:rPr>
                              <w:t>Średnica znamionowa rury (mm)</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112"/>
                              <w:jc w:val="both"/>
                              <w:rPr>
                                <w:rFonts w:ascii="Calibri" w:hAnsi="Calibri" w:cs="Times New Roman" w:asciiTheme="minorHAnsi" w:hAnsiTheme="minorHAnsi"/>
                              </w:rPr>
                            </w:pPr>
                            <w:r>
                              <w:rPr>
                                <w:rFonts w:cs="Times New Roman" w:ascii="Calibri" w:hAnsi="Calibri" w:asciiTheme="minorHAnsi" w:hAnsiTheme="minorHAnsi"/>
                                <w:color w:val="000000"/>
                              </w:rPr>
                              <w:t>18</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21</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22</w:t>
                            </w:r>
                          </w:p>
                        </w:tc>
                        <w:tc>
                          <w:tcPr>
                            <w:tcW w:w="606"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4"/>
                              <w:jc w:val="both"/>
                              <w:rPr>
                                <w:rFonts w:ascii="Calibri" w:hAnsi="Calibri" w:cs="Times New Roman" w:asciiTheme="minorHAnsi" w:hAnsiTheme="minorHAnsi"/>
                              </w:rPr>
                            </w:pPr>
                            <w:r>
                              <w:rPr>
                                <w:rFonts w:cs="Times New Roman" w:ascii="Calibri" w:hAnsi="Calibri" w:asciiTheme="minorHAnsi" w:hAnsiTheme="minorHAnsi"/>
                                <w:color w:val="000000"/>
                              </w:rPr>
                              <w:t>28</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37</w:t>
                            </w:r>
                          </w:p>
                        </w:tc>
                        <w:tc>
                          <w:tcPr>
                            <w:tcW w:w="612"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83"/>
                              <w:jc w:val="both"/>
                              <w:rPr>
                                <w:rFonts w:ascii="Calibri" w:hAnsi="Calibri" w:cs="Times New Roman" w:asciiTheme="minorHAnsi" w:hAnsiTheme="minorHAnsi"/>
                              </w:rPr>
                            </w:pPr>
                            <w:r>
                              <w:rPr>
                                <w:rFonts w:cs="Times New Roman" w:ascii="Calibri" w:hAnsi="Calibri" w:asciiTheme="minorHAnsi" w:hAnsiTheme="minorHAnsi"/>
                                <w:color w:val="000000"/>
                              </w:rPr>
                              <w:t>47</w:t>
                            </w:r>
                          </w:p>
                        </w:tc>
                      </w:tr>
                      <w:tr>
                        <w:trPr>
                          <w:trHeight w:val="346" w:hRule="exact"/>
                        </w:trPr>
                        <w:tc>
                          <w:tcPr>
                            <w:tcW w:w="3420"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jc w:val="both"/>
                              <w:rPr>
                                <w:rFonts w:ascii="Calibri" w:hAnsi="Calibri" w:cs="Times New Roman" w:asciiTheme="minorHAnsi" w:hAnsiTheme="minorHAnsi"/>
                              </w:rPr>
                            </w:pPr>
                            <w:r>
                              <w:rPr>
                                <w:rFonts w:cs="Times New Roman" w:ascii="Calibri" w:hAnsi="Calibri" w:asciiTheme="minorHAnsi" w:hAnsiTheme="minorHAnsi"/>
                                <w:color w:val="000000"/>
                                <w:spacing w:val="-2"/>
                              </w:rPr>
                              <w:t>Promień łuku (mm)</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58"/>
                              <w:jc w:val="both"/>
                              <w:rPr>
                                <w:rFonts w:ascii="Calibri" w:hAnsi="Calibri" w:cs="Times New Roman" w:asciiTheme="minorHAnsi" w:hAnsiTheme="minorHAnsi"/>
                              </w:rPr>
                            </w:pPr>
                            <w:r>
                              <w:rPr>
                                <w:rFonts w:cs="Times New Roman" w:ascii="Calibri" w:hAnsi="Calibri" w:asciiTheme="minorHAnsi" w:hAnsiTheme="minorHAnsi"/>
                                <w:color w:val="000000"/>
                              </w:rPr>
                              <w:t>190</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61"/>
                              <w:jc w:val="both"/>
                              <w:rPr>
                                <w:rFonts w:ascii="Calibri" w:hAnsi="Calibri" w:cs="Times New Roman" w:asciiTheme="minorHAnsi" w:hAnsiTheme="minorHAnsi"/>
                              </w:rPr>
                            </w:pPr>
                            <w:r>
                              <w:rPr>
                                <w:rFonts w:cs="Times New Roman" w:ascii="Calibri" w:hAnsi="Calibri" w:asciiTheme="minorHAnsi" w:hAnsiTheme="minorHAnsi"/>
                                <w:color w:val="000000"/>
                              </w:rPr>
                              <w:t>190</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3"/>
                              <w:jc w:val="both"/>
                              <w:rPr>
                                <w:rFonts w:ascii="Calibri" w:hAnsi="Calibri" w:cs="Times New Roman" w:asciiTheme="minorHAnsi" w:hAnsiTheme="minorHAnsi"/>
                              </w:rPr>
                            </w:pPr>
                            <w:r>
                              <w:rPr>
                                <w:rFonts w:cs="Times New Roman" w:ascii="Calibri" w:hAnsi="Calibri" w:asciiTheme="minorHAnsi" w:hAnsiTheme="minorHAnsi"/>
                                <w:color w:val="000000"/>
                              </w:rPr>
                              <w:t>250</w:t>
                            </w:r>
                          </w:p>
                        </w:tc>
                        <w:tc>
                          <w:tcPr>
                            <w:tcW w:w="606"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3"/>
                              <w:jc w:val="both"/>
                              <w:rPr>
                                <w:rFonts w:ascii="Calibri" w:hAnsi="Calibri" w:cs="Times New Roman" w:asciiTheme="minorHAnsi" w:hAnsiTheme="minorHAnsi"/>
                              </w:rPr>
                            </w:pPr>
                            <w:r>
                              <w:rPr>
                                <w:rFonts w:cs="Times New Roman" w:ascii="Calibri" w:hAnsi="Calibri" w:asciiTheme="minorHAnsi" w:hAnsiTheme="minorHAnsi"/>
                                <w:color w:val="000000"/>
                              </w:rPr>
                              <w:t>250</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7"/>
                              <w:jc w:val="both"/>
                              <w:rPr>
                                <w:rFonts w:ascii="Calibri" w:hAnsi="Calibri" w:cs="Times New Roman" w:asciiTheme="minorHAnsi" w:hAnsiTheme="minorHAnsi"/>
                              </w:rPr>
                            </w:pPr>
                            <w:r>
                              <w:rPr>
                                <w:rFonts w:cs="Times New Roman" w:ascii="Calibri" w:hAnsi="Calibri" w:asciiTheme="minorHAnsi" w:hAnsiTheme="minorHAnsi"/>
                                <w:color w:val="000000"/>
                              </w:rPr>
                              <w:t>350</w:t>
                            </w:r>
                          </w:p>
                        </w:tc>
                        <w:tc>
                          <w:tcPr>
                            <w:tcW w:w="612"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36"/>
                              <w:jc w:val="both"/>
                              <w:rPr>
                                <w:rFonts w:ascii="Calibri" w:hAnsi="Calibri" w:cs="Times New Roman" w:asciiTheme="minorHAnsi" w:hAnsiTheme="minorHAnsi"/>
                              </w:rPr>
                            </w:pPr>
                            <w:r>
                              <w:rPr>
                                <w:rFonts w:cs="Times New Roman" w:ascii="Calibri" w:hAnsi="Calibri" w:asciiTheme="minorHAnsi" w:hAnsiTheme="minorHAnsi"/>
                                <w:color w:val="000000"/>
                              </w:rPr>
                              <w:t>450</w:t>
                            </w:r>
                          </w:p>
                        </w:tc>
                      </w:tr>
                    </w:tbl>
                    <w:p>
                      <w:pPr>
                        <w:pStyle w:val="Zawartoramki"/>
                        <w:rPr>
                          <w:color w:val="000000"/>
                        </w:rPr>
                      </w:pPr>
                      <w:r>
                        <w:rPr>
                          <w:color w:val="000000"/>
                        </w:rPr>
                      </w:r>
                    </w:p>
                  </w:txbxContent>
                </v:textbox>
                <w10:wrap type="square"/>
              </v:rect>
            </w:pict>
          </mc:Fallback>
        </mc:AlternateContent>
      </w:r>
    </w:p>
    <w:p>
      <w:pPr>
        <w:pStyle w:val="Normal"/>
        <w:ind w:start="426" w:end="423"/>
        <w:rPr>
          <w:sz w:val="24"/>
          <w:szCs w:val="24"/>
        </w:rPr>
      </w:pPr>
      <w:r>
        <w:rPr>
          <w:sz w:val="24"/>
          <w:szCs w:val="24"/>
        </w:rPr>
      </w:r>
    </w:p>
    <w:p>
      <w:pPr>
        <w:pStyle w:val="Normal"/>
        <w:ind w:start="426" w:end="423"/>
        <w:rPr>
          <w:sz w:val="24"/>
          <w:szCs w:val="24"/>
        </w:rPr>
      </w:pPr>
      <w:r>
        <w:rPr>
          <w:sz w:val="24"/>
          <w:szCs w:val="24"/>
        </w:rPr>
      </w:r>
    </w:p>
    <w:p>
      <w:pPr>
        <w:pStyle w:val="Normal"/>
        <w:ind w:start="426" w:end="423"/>
        <w:rPr>
          <w:sz w:val="24"/>
          <w:szCs w:val="24"/>
        </w:rPr>
      </w:pPr>
      <w:r>
        <w:rPr>
          <w:sz w:val="24"/>
          <w:szCs w:val="24"/>
        </w:rPr>
      </w:r>
    </w:p>
    <w:p>
      <w:pPr>
        <w:pStyle w:val="Normal"/>
        <w:numPr>
          <w:ilvl w:val="0"/>
          <w:numId w:val="4"/>
        </w:numPr>
        <w:shd w:val="clear" w:color="auto" w:fill="FFFFFF"/>
        <w:ind w:hanging="288" w:start="426" w:end="423"/>
        <w:rPr>
          <w:sz w:val="24"/>
          <w:szCs w:val="24"/>
        </w:rPr>
      </w:pPr>
      <w:r>
        <w:rPr>
          <w:color w:val="000000"/>
          <w:sz w:val="24"/>
          <w:szCs w:val="24"/>
        </w:rPr>
        <w:t xml:space="preserve">łączenie rur należy wykonać za pomocą przewidzianych do tego celu złączek (lub przez </w:t>
      </w:r>
      <w:r>
        <w:rPr>
          <w:color w:val="000000"/>
          <w:spacing w:val="-1"/>
          <w:sz w:val="24"/>
          <w:szCs w:val="24"/>
        </w:rPr>
        <w:t>kielichowanie),</w:t>
      </w:r>
    </w:p>
    <w:p>
      <w:pPr>
        <w:pStyle w:val="Normal"/>
        <w:numPr>
          <w:ilvl w:val="0"/>
          <w:numId w:val="4"/>
        </w:numPr>
        <w:shd w:val="clear" w:color="auto" w:fill="FFFFFF"/>
        <w:ind w:hanging="288" w:start="426" w:end="423"/>
        <w:rPr>
          <w:sz w:val="24"/>
          <w:szCs w:val="24"/>
        </w:rPr>
      </w:pPr>
      <w:r>
        <w:rPr>
          <w:color w:val="000000"/>
          <w:sz w:val="24"/>
          <w:szCs w:val="24"/>
        </w:rPr>
        <w:t>puszki powinny być osadzone na takiej głębokości, aby ich górna (zewnętrzna) krawędź po otynkowaniu ściany była zrównana (zlicowana) z tynkiem,</w:t>
      </w:r>
    </w:p>
    <w:p>
      <w:pPr>
        <w:pStyle w:val="Normal"/>
        <w:numPr>
          <w:ilvl w:val="0"/>
          <w:numId w:val="4"/>
        </w:numPr>
        <w:shd w:val="clear" w:color="auto" w:fill="FFFFFF"/>
        <w:ind w:hanging="288" w:start="426" w:end="423"/>
        <w:rPr>
          <w:sz w:val="24"/>
          <w:szCs w:val="24"/>
        </w:rPr>
      </w:pPr>
      <w:r>
        <w:rPr>
          <w:color w:val="000000"/>
          <w:spacing w:val="1"/>
          <w:sz w:val="24"/>
          <w:szCs w:val="24"/>
        </w:rPr>
        <w:t>przed zainstalowaniem należy w puszce wyciąć wymaganą liczbę otworów dostosowa</w:t>
      </w:r>
      <w:r>
        <w:rPr>
          <w:color w:val="000000"/>
          <w:spacing w:val="-1"/>
          <w:sz w:val="24"/>
          <w:szCs w:val="24"/>
        </w:rPr>
        <w:t>nych do średnicy wprowadzanych rur,</w:t>
      </w:r>
    </w:p>
    <w:p>
      <w:pPr>
        <w:pStyle w:val="Normal"/>
        <w:numPr>
          <w:ilvl w:val="0"/>
          <w:numId w:val="4"/>
        </w:numPr>
        <w:shd w:val="clear" w:color="auto" w:fill="FFFFFF"/>
        <w:ind w:start="426" w:end="423"/>
        <w:rPr>
          <w:sz w:val="24"/>
          <w:szCs w:val="24"/>
        </w:rPr>
      </w:pPr>
      <w:r>
        <w:rPr>
          <w:color w:val="000000"/>
          <w:sz w:val="24"/>
          <w:szCs w:val="24"/>
        </w:rPr>
        <w:t>koniec rury powinien wchodzić do środka puszki na głębokość do 5 mm,</w:t>
      </w:r>
    </w:p>
    <w:p>
      <w:pPr>
        <w:pStyle w:val="Normal"/>
        <w:numPr>
          <w:ilvl w:val="0"/>
          <w:numId w:val="4"/>
        </w:numPr>
        <w:shd w:val="clear" w:color="auto" w:fill="FFFFFF"/>
        <w:ind w:hanging="288" w:start="426" w:end="423"/>
        <w:rPr>
          <w:sz w:val="24"/>
          <w:szCs w:val="24"/>
        </w:rPr>
      </w:pPr>
      <w:r>
        <w:rPr>
          <w:color w:val="000000"/>
          <w:spacing w:val="9"/>
          <w:sz w:val="24"/>
          <w:szCs w:val="24"/>
        </w:rPr>
        <w:t xml:space="preserve">wciąganie do rur instalacyjnych i kanałów zakrytych drutu stalowego o średnicy </w:t>
      </w:r>
      <w:r>
        <w:rPr>
          <w:color w:val="000000"/>
          <w:spacing w:val="5"/>
          <w:sz w:val="24"/>
          <w:szCs w:val="24"/>
        </w:rPr>
        <w:t>1,0 do 1,2 mm dla ułatwienia wciągania kabli i przewodów wg dokumentacji projek</w:t>
      </w:r>
      <w:r>
        <w:rPr>
          <w:color w:val="000000"/>
          <w:spacing w:val="4"/>
          <w:sz w:val="24"/>
          <w:szCs w:val="24"/>
        </w:rPr>
        <w:t>towej i specyfikacji technicznej (szczegółowej) SST, układanie (montaż) kabli i prze</w:t>
      </w:r>
      <w:r>
        <w:rPr>
          <w:color w:val="000000"/>
          <w:spacing w:val="6"/>
          <w:sz w:val="24"/>
          <w:szCs w:val="24"/>
        </w:rPr>
        <w:t xml:space="preserve">wodów zgodne z ich wyszczególnieniem i charakterystyką podaną w dokumentacji </w:t>
      </w:r>
      <w:r>
        <w:rPr>
          <w:color w:val="000000"/>
          <w:spacing w:val="7"/>
          <w:sz w:val="24"/>
          <w:szCs w:val="24"/>
        </w:rPr>
        <w:t xml:space="preserve">projektowej i specyfikacji technicznej (szczegółowej) SST. W przypadku łatwości </w:t>
      </w:r>
      <w:r>
        <w:rPr>
          <w:color w:val="000000"/>
          <w:spacing w:val="4"/>
          <w:sz w:val="24"/>
          <w:szCs w:val="24"/>
        </w:rPr>
        <w:t>wciągania kabli i przewodów, wciąganie drutu prowadzącego, stalowego nie jest ko</w:t>
      </w:r>
      <w:r>
        <w:rPr>
          <w:color w:val="000000"/>
          <w:spacing w:val="5"/>
          <w:sz w:val="24"/>
          <w:szCs w:val="24"/>
        </w:rPr>
        <w:t>nieczne. Przewody muszą być ułożone swobodnie i nie mogą być narażone na na</w:t>
      </w:r>
      <w:r>
        <w:rPr>
          <w:color w:val="000000"/>
          <w:spacing w:val="4"/>
          <w:sz w:val="24"/>
          <w:szCs w:val="24"/>
        </w:rPr>
        <w:t>ciągi i dodatkowe naprężenia,</w:t>
      </w:r>
    </w:p>
    <w:p>
      <w:pPr>
        <w:pStyle w:val="Normal"/>
        <w:numPr>
          <w:ilvl w:val="0"/>
          <w:numId w:val="4"/>
        </w:numPr>
        <w:shd w:val="clear" w:color="auto" w:fill="FFFFFF"/>
        <w:ind w:hanging="288" w:start="426" w:end="423"/>
        <w:rPr>
          <w:sz w:val="24"/>
          <w:szCs w:val="24"/>
        </w:rPr>
      </w:pPr>
      <w:r>
        <w:rPr>
          <w:color w:val="000000"/>
          <w:spacing w:val="1"/>
          <w:sz w:val="24"/>
          <w:szCs w:val="24"/>
        </w:rPr>
        <w:t xml:space="preserve">oznakowanie zgodne wytycznymi z dokumentacji projektowej i specyfikacji technicznej </w:t>
      </w:r>
      <w:r>
        <w:rPr>
          <w:color w:val="000000"/>
          <w:spacing w:val="3"/>
          <w:sz w:val="24"/>
          <w:szCs w:val="24"/>
        </w:rPr>
        <w:t>(szczegółowej) SST lub normami (PN-EN 60446:2004 Zasady podstawowe i bezpie</w:t>
      </w:r>
      <w:r>
        <w:rPr>
          <w:color w:val="000000"/>
          <w:spacing w:val="2"/>
          <w:sz w:val="24"/>
          <w:szCs w:val="24"/>
        </w:rPr>
        <w:t>czeństwa przy współdziałaniu człowieka z maszyną, oznaczanie i identyfikacja. Ozna</w:t>
      </w:r>
      <w:r>
        <w:rPr>
          <w:color w:val="000000"/>
          <w:spacing w:val="1"/>
          <w:sz w:val="24"/>
          <w:szCs w:val="24"/>
        </w:rPr>
        <w:t>czenia identyfikacyjne przewodów barwami albo cyframi, w przypadku braku takich wy</w:t>
      </w:r>
      <w:r>
        <w:rPr>
          <w:color w:val="000000"/>
          <w:spacing w:val="-1"/>
          <w:sz w:val="24"/>
          <w:szCs w:val="24"/>
        </w:rPr>
        <w:t>tycznych) -lub norma równorzędna,</w:t>
      </w:r>
    </w:p>
    <w:p>
      <w:pPr>
        <w:pStyle w:val="Normal"/>
        <w:numPr>
          <w:ilvl w:val="0"/>
          <w:numId w:val="4"/>
        </w:numPr>
        <w:shd w:val="clear" w:color="auto" w:fill="FFFFFF"/>
        <w:ind w:hanging="288" w:start="426" w:end="423"/>
        <w:rPr>
          <w:sz w:val="24"/>
          <w:szCs w:val="24"/>
        </w:rPr>
      </w:pPr>
      <w:r>
        <w:rPr>
          <w:color w:val="000000"/>
          <w:spacing w:val="-1"/>
          <w:sz w:val="24"/>
          <w:szCs w:val="24"/>
        </w:rPr>
        <w:t>roboty o charakterze ogólnobudowlanym po montażu kabli i przewodów jak: zaprawianie bruzd, naprawa ścian i stropów po przekuciach i osadzeniu przepustów, montaż przykryć kanałów instalacyjnych,</w:t>
      </w:r>
    </w:p>
    <w:p>
      <w:pPr>
        <w:pStyle w:val="Normal"/>
        <w:numPr>
          <w:ilvl w:val="0"/>
          <w:numId w:val="4"/>
        </w:numPr>
        <w:shd w:val="clear" w:color="auto" w:fill="FFFFFF"/>
        <w:ind w:hanging="288" w:start="426" w:end="423"/>
        <w:rPr>
          <w:sz w:val="24"/>
          <w:szCs w:val="24"/>
        </w:rPr>
      </w:pPr>
      <w:r>
        <w:rPr>
          <w:color w:val="000000"/>
          <w:spacing w:val="-2"/>
          <w:sz w:val="24"/>
          <w:szCs w:val="24"/>
        </w:rPr>
        <w:t>przeprowadzenie prób i badań zgodnie z PN-IEC 60364-6-61:2000 oraz PN-E-</w:t>
      </w:r>
      <w:r>
        <w:rPr>
          <w:color w:val="000000"/>
          <w:spacing w:val="-1"/>
          <w:sz w:val="24"/>
          <w:szCs w:val="24"/>
        </w:rPr>
        <w:t>04700:1998/Az1:2000. -lub norma równorzędna</w:t>
      </w:r>
    </w:p>
    <w:p>
      <w:pPr>
        <w:pStyle w:val="Heading2"/>
        <w:numPr>
          <w:ilvl w:val="1"/>
          <w:numId w:val="13"/>
        </w:numPr>
        <w:ind w:hanging="432" w:start="426" w:end="423"/>
        <w:rPr>
          <w:rFonts w:ascii="Arial" w:hAnsi="Arial" w:cs="Arial"/>
          <w:sz w:val="24"/>
          <w:szCs w:val="24"/>
        </w:rPr>
      </w:pPr>
      <w:bookmarkStart w:id="94" w:name="_Toc215176935"/>
      <w:bookmarkStart w:id="95" w:name="_Toc535218213"/>
      <w:bookmarkEnd w:id="95"/>
      <w:r>
        <w:rPr>
          <w:rFonts w:cs="Arial" w:ascii="Arial" w:hAnsi="Arial"/>
          <w:sz w:val="24"/>
          <w:szCs w:val="24"/>
        </w:rPr>
        <w:t>Montaż opraw oświetleniowych i sprzętu instalacyjnego, urządzeń i odbiorników energii elektrycznej</w:t>
      </w:r>
      <w:bookmarkEnd w:id="94"/>
    </w:p>
    <w:p>
      <w:pPr>
        <w:pStyle w:val="Normal"/>
        <w:shd w:val="clear" w:color="auto" w:fill="FFFFFF"/>
        <w:ind w:firstLine="282" w:start="426" w:end="423"/>
        <w:rPr>
          <w:sz w:val="24"/>
          <w:szCs w:val="24"/>
        </w:rPr>
      </w:pPr>
      <w:r>
        <w:rPr>
          <w:color w:val="000000"/>
          <w:spacing w:val="2"/>
          <w:sz w:val="24"/>
          <w:szCs w:val="24"/>
        </w:rPr>
        <w:t xml:space="preserve">Te elementy instalacji montować w końcowej fazie robót, aby uniknąć niepotrzebnych </w:t>
      </w:r>
      <w:r>
        <w:rPr>
          <w:color w:val="000000"/>
          <w:spacing w:val="6"/>
          <w:sz w:val="24"/>
          <w:szCs w:val="24"/>
        </w:rPr>
        <w:t xml:space="preserve">zniszczeń i zabrudzeń. Oprawy do stropu montować wkrętami zabezpieczonymi </w:t>
      </w:r>
      <w:r>
        <w:rPr>
          <w:color w:val="000000"/>
          <w:sz w:val="24"/>
          <w:szCs w:val="24"/>
        </w:rPr>
        <w:t>antykorozyjnie na kołkach rozporowych plastikowych. Ta sama uwaga dotyczy sprzętu instalacyjnego, urządzeń i odbiorników energii elektrycznej montowanego na ścianach.</w:t>
      </w:r>
    </w:p>
    <w:p>
      <w:pPr>
        <w:pStyle w:val="Normal"/>
        <w:shd w:val="clear" w:color="auto" w:fill="FFFFFF"/>
        <w:ind w:start="426" w:end="423"/>
        <w:rPr>
          <w:sz w:val="24"/>
          <w:szCs w:val="24"/>
        </w:rPr>
      </w:pPr>
      <w:r>
        <w:rPr>
          <w:color w:val="000000"/>
          <w:sz w:val="24"/>
          <w:szCs w:val="24"/>
        </w:rPr>
        <w:t>Przed zamocowaniem opraw należy sprawdzić ich działanie oraz prawidłowość połączeń.</w:t>
      </w:r>
    </w:p>
    <w:p>
      <w:pPr>
        <w:pStyle w:val="Normal"/>
        <w:shd w:val="clear" w:color="auto" w:fill="FFFFFF"/>
        <w:ind w:start="426" w:end="423"/>
        <w:rPr>
          <w:sz w:val="24"/>
          <w:szCs w:val="24"/>
        </w:rPr>
      </w:pPr>
      <w:r>
        <w:rPr>
          <w:color w:val="000000"/>
          <w:spacing w:val="1"/>
          <w:sz w:val="24"/>
          <w:szCs w:val="24"/>
        </w:rPr>
        <w:t xml:space="preserve">Źródła światła i zapłonniki do opraw należy zamontować po całkowitym zainstalowaniu </w:t>
      </w:r>
      <w:r>
        <w:rPr>
          <w:color w:val="000000"/>
          <w:spacing w:val="-4"/>
          <w:sz w:val="24"/>
          <w:szCs w:val="24"/>
        </w:rPr>
        <w:t>opraw.</w:t>
      </w:r>
    </w:p>
    <w:p>
      <w:pPr>
        <w:pStyle w:val="Normal"/>
        <w:shd w:val="clear" w:color="auto" w:fill="FFFFFF"/>
        <w:ind w:start="426" w:end="423"/>
        <w:rPr>
          <w:sz w:val="24"/>
          <w:szCs w:val="24"/>
        </w:rPr>
      </w:pPr>
      <w:r>
        <w:rPr>
          <w:color w:val="000000"/>
          <w:spacing w:val="1"/>
          <w:sz w:val="24"/>
          <w:szCs w:val="24"/>
        </w:rPr>
        <w:t xml:space="preserve">Należy zapewnić równomierne obciążenie faz linii zasilających przez odpowiednie </w:t>
      </w:r>
      <w:r>
        <w:rPr>
          <w:color w:val="000000"/>
          <w:spacing w:val="-1"/>
          <w:sz w:val="24"/>
          <w:szCs w:val="24"/>
        </w:rPr>
        <w:t>przyłączanie odbiorów      1-fazowych.</w:t>
      </w:r>
    </w:p>
    <w:p>
      <w:pPr>
        <w:pStyle w:val="Normal"/>
        <w:shd w:val="clear" w:color="auto" w:fill="FFFFFF"/>
        <w:ind w:start="426" w:end="423"/>
        <w:rPr>
          <w:sz w:val="24"/>
          <w:szCs w:val="24"/>
        </w:rPr>
      </w:pPr>
      <w:r>
        <w:rPr>
          <w:color w:val="000000"/>
          <w:sz w:val="24"/>
          <w:szCs w:val="24"/>
        </w:rPr>
        <w:t xml:space="preserve">Mocowanie puszek w ścianach i gniazd wtykowych w puszkach powinno zapewniać </w:t>
      </w:r>
      <w:r>
        <w:rPr>
          <w:color w:val="000000"/>
          <w:spacing w:val="-1"/>
          <w:sz w:val="24"/>
          <w:szCs w:val="24"/>
        </w:rPr>
        <w:t>niezbędną wytrzymałość na wyciąganie wtyczki i gniazda.</w:t>
      </w:r>
    </w:p>
    <w:p>
      <w:pPr>
        <w:pStyle w:val="Normal"/>
        <w:shd w:val="clear" w:color="auto" w:fill="FFFFFF"/>
        <w:ind w:start="426" w:end="423"/>
        <w:rPr>
          <w:sz w:val="24"/>
          <w:szCs w:val="24"/>
        </w:rPr>
      </w:pPr>
      <w:r>
        <w:rPr>
          <w:color w:val="000000"/>
          <w:spacing w:val="-3"/>
          <w:sz w:val="24"/>
          <w:szCs w:val="24"/>
        </w:rPr>
        <w:t>Gniazda wtykowe i wyłączniki należy instalować w sposób nie kolidujący z wyposażeniem pomieszczenia.</w:t>
      </w:r>
    </w:p>
    <w:p>
      <w:pPr>
        <w:pStyle w:val="Normal"/>
        <w:shd w:val="clear" w:color="auto" w:fill="FFFFFF"/>
        <w:ind w:start="426" w:end="423"/>
        <w:rPr>
          <w:sz w:val="24"/>
          <w:szCs w:val="24"/>
        </w:rPr>
      </w:pPr>
      <w:r>
        <w:rPr>
          <w:color w:val="000000"/>
          <w:spacing w:val="7"/>
          <w:sz w:val="24"/>
          <w:szCs w:val="24"/>
        </w:rPr>
        <w:t xml:space="preserve">W sanitariatach należy przestrzegać zasady poprawnego rozmieszczania sprzętu </w:t>
      </w:r>
      <w:r>
        <w:rPr>
          <w:color w:val="000000"/>
          <w:sz w:val="24"/>
          <w:szCs w:val="24"/>
        </w:rPr>
        <w:t>z uwzględnieniem przestrzeni ochronnych.</w:t>
      </w:r>
    </w:p>
    <w:p>
      <w:pPr>
        <w:pStyle w:val="Normal"/>
        <w:shd w:val="clear" w:color="auto" w:fill="FFFFFF"/>
        <w:ind w:start="426" w:end="423"/>
        <w:rPr>
          <w:sz w:val="24"/>
          <w:szCs w:val="24"/>
        </w:rPr>
      </w:pPr>
      <w:r>
        <w:rPr>
          <w:color w:val="000000"/>
          <w:spacing w:val="6"/>
          <w:sz w:val="24"/>
          <w:szCs w:val="24"/>
        </w:rPr>
        <w:t xml:space="preserve">Położenie wyłączników klawiszowych należy przyjmować takie, aby w całym </w:t>
      </w:r>
      <w:r>
        <w:rPr>
          <w:color w:val="000000"/>
          <w:spacing w:val="-1"/>
          <w:sz w:val="24"/>
          <w:szCs w:val="24"/>
        </w:rPr>
        <w:t>pomieszczeniu było jednakowe.</w:t>
      </w:r>
    </w:p>
    <w:p>
      <w:pPr>
        <w:pStyle w:val="Normal"/>
        <w:shd w:val="clear" w:color="auto" w:fill="FFFFFF"/>
        <w:ind w:start="426" w:end="423"/>
        <w:rPr>
          <w:sz w:val="24"/>
          <w:szCs w:val="24"/>
        </w:rPr>
      </w:pPr>
      <w:r>
        <w:rPr>
          <w:color w:val="000000"/>
          <w:spacing w:val="-1"/>
          <w:sz w:val="24"/>
          <w:szCs w:val="24"/>
        </w:rPr>
        <w:t>Gniazda wtykowe ze stykiem ochronnym należy instalować w takim położeniu, aby styk ten występował u góry.</w:t>
      </w:r>
    </w:p>
    <w:p>
      <w:pPr>
        <w:pStyle w:val="Normal"/>
        <w:shd w:val="clear" w:color="auto" w:fill="FFFFFF"/>
        <w:ind w:start="426" w:end="423"/>
        <w:rPr>
          <w:sz w:val="24"/>
          <w:szCs w:val="24"/>
        </w:rPr>
      </w:pPr>
      <w:r>
        <w:rPr>
          <w:color w:val="000000"/>
          <w:spacing w:val="-1"/>
          <w:sz w:val="24"/>
          <w:szCs w:val="24"/>
        </w:rPr>
        <w:t>Przewody do gniazd wtykowych 2-biegunowych należy podłączać w taki sposób, aby przewód fazowy dochodził do lewego bieguna, a przewód neutralny do prawego bieguna.</w:t>
      </w:r>
    </w:p>
    <w:p>
      <w:pPr>
        <w:pStyle w:val="Normal"/>
        <w:shd w:val="clear" w:color="auto" w:fill="FFFFFF"/>
        <w:ind w:start="426" w:end="423"/>
        <w:rPr>
          <w:sz w:val="24"/>
          <w:szCs w:val="24"/>
        </w:rPr>
      </w:pPr>
      <w:r>
        <w:rPr>
          <w:color w:val="000000"/>
          <w:spacing w:val="-1"/>
          <w:sz w:val="24"/>
          <w:szCs w:val="24"/>
        </w:rPr>
        <w:t>Przewód ochronny będący żyłą przewodu wielożyłowego powinien mieć izolację będącą kombinacją barwy zielonej i żółtej.</w:t>
      </w:r>
    </w:p>
    <w:p>
      <w:pPr>
        <w:pStyle w:val="Normal"/>
        <w:shd w:val="clear" w:color="auto" w:fill="FFFFFF"/>
        <w:ind w:start="426" w:end="423"/>
        <w:rPr>
          <w:sz w:val="24"/>
          <w:szCs w:val="24"/>
        </w:rPr>
      </w:pPr>
      <w:r>
        <w:rPr>
          <w:color w:val="000000"/>
          <w:spacing w:val="-1"/>
          <w:sz w:val="24"/>
          <w:szCs w:val="24"/>
        </w:rPr>
        <w:t>Typy opraw, trasy przewodów oraz sposób ich prowadzenia wykonać zgodnie z planami instalacji i schematami.</w:t>
      </w:r>
    </w:p>
    <w:p>
      <w:pPr>
        <w:pStyle w:val="Normal"/>
        <w:widowControl/>
        <w:ind w:start="426" w:end="423"/>
        <w:rPr>
          <w:sz w:val="24"/>
          <w:szCs w:val="24"/>
        </w:rPr>
      </w:pPr>
      <w:r>
        <w:rPr>
          <w:color w:val="000000"/>
          <w:spacing w:val="-1"/>
          <w:sz w:val="24"/>
          <w:szCs w:val="24"/>
        </w:rPr>
        <w:t xml:space="preserve">Wykonujący montaż rozdzielnicy lub każdego z jej segmentów powinien sprawdzić czy wszystkie zaprojektowane elementy mocujące posiadają nadany przez wytwórcę certyfikat zgodności lub aprobatę techniczną bądź deklarację zgodności. Podstawowe sposoby montażu: </w:t>
      </w:r>
    </w:p>
    <w:p>
      <w:pPr>
        <w:pStyle w:val="Normal"/>
        <w:widowControl/>
        <w:ind w:start="426" w:end="423"/>
        <w:rPr>
          <w:sz w:val="24"/>
          <w:szCs w:val="24"/>
        </w:rPr>
      </w:pPr>
      <w:r>
        <w:rPr>
          <w:color w:val="000000"/>
          <w:spacing w:val="-1"/>
          <w:sz w:val="24"/>
          <w:szCs w:val="24"/>
        </w:rPr>
        <w:t xml:space="preserve">– </w:t>
      </w:r>
      <w:r>
        <w:rPr>
          <w:color w:val="000000"/>
          <w:spacing w:val="-1"/>
          <w:sz w:val="24"/>
          <w:szCs w:val="24"/>
        </w:rPr>
        <w:t xml:space="preserve">zabetonowanie w podłożu lub ścianie przygotowanych w obudowie kotew stalowych, </w:t>
      </w:r>
    </w:p>
    <w:p>
      <w:pPr>
        <w:pStyle w:val="Normal"/>
        <w:widowControl/>
        <w:ind w:start="426" w:end="423"/>
        <w:rPr>
          <w:sz w:val="24"/>
          <w:szCs w:val="24"/>
        </w:rPr>
      </w:pPr>
      <w:r>
        <w:rPr>
          <w:color w:val="000000"/>
          <w:spacing w:val="-1"/>
          <w:sz w:val="24"/>
          <w:szCs w:val="24"/>
        </w:rPr>
        <w:t xml:space="preserve">– </w:t>
      </w:r>
      <w:r>
        <w:rPr>
          <w:color w:val="000000"/>
          <w:spacing w:val="-1"/>
          <w:sz w:val="24"/>
          <w:szCs w:val="24"/>
        </w:rPr>
        <w:t xml:space="preserve">osadzenie w podłożu przy użyciu kołków kotwiących lub rozporowych (otwory do mocowania przygotowane w obudowie), </w:t>
      </w:r>
    </w:p>
    <w:p>
      <w:pPr>
        <w:pStyle w:val="Normal"/>
        <w:widowControl/>
        <w:ind w:start="426" w:end="423"/>
        <w:rPr>
          <w:sz w:val="24"/>
          <w:szCs w:val="24"/>
        </w:rPr>
      </w:pPr>
      <w:r>
        <w:rPr>
          <w:color w:val="000000"/>
          <w:spacing w:val="-1"/>
          <w:sz w:val="24"/>
          <w:szCs w:val="24"/>
        </w:rPr>
        <w:t xml:space="preserve">– </w:t>
      </w:r>
      <w:r>
        <w:rPr>
          <w:color w:val="000000"/>
          <w:spacing w:val="-1"/>
          <w:sz w:val="24"/>
          <w:szCs w:val="24"/>
        </w:rPr>
        <w:t xml:space="preserve">przykręcenie za pomocą materiałów złącznych lub przyspawanie do przygotowanej konstrukcji wsporczej. </w:t>
      </w:r>
    </w:p>
    <w:p>
      <w:pPr>
        <w:pStyle w:val="Normal"/>
        <w:shd w:val="clear" w:color="auto" w:fill="FFFFFF"/>
        <w:ind w:start="426" w:end="423"/>
        <w:rPr>
          <w:sz w:val="24"/>
          <w:szCs w:val="24"/>
        </w:rPr>
      </w:pPr>
      <w:r>
        <w:rPr>
          <w:color w:val="000000"/>
          <w:spacing w:val="-1"/>
          <w:sz w:val="24"/>
          <w:szCs w:val="24"/>
        </w:rPr>
        <w:t xml:space="preserve">Osprzęt w tablicach należy montować do obudowy za pomocą: płyty montażowej lub płyty zabudowy, szyn lub belek  nośnych  zunifikowanych  lub zaprojektowanych, półek i szuflad. Połączenia wewnętrzne elementów należy wykonywać za pomocą: szyn poprzez zaciski szynowe, szyn elastycznych, zacisków przyłączeniowych lub przewodów. Przewody o przekroju żyły do 2,5 (4) mm2 należy pocynować, natomiast na przewody powyżej 4 mm2 należy montować końcówki kablowe wg instrukcji producenta. </w:t>
      </w:r>
    </w:p>
    <w:p>
      <w:pPr>
        <w:pStyle w:val="Heading2"/>
        <w:numPr>
          <w:ilvl w:val="1"/>
          <w:numId w:val="13"/>
        </w:numPr>
        <w:ind w:hanging="432" w:start="426" w:end="423"/>
        <w:rPr>
          <w:rFonts w:ascii="Arial" w:hAnsi="Arial" w:cs="Arial"/>
          <w:sz w:val="24"/>
          <w:szCs w:val="24"/>
        </w:rPr>
      </w:pPr>
      <w:bookmarkStart w:id="96" w:name="_Toc215176936"/>
      <w:bookmarkStart w:id="97" w:name="_Toc535218214"/>
      <w:bookmarkEnd w:id="97"/>
      <w:r>
        <w:rPr>
          <w:rFonts w:cs="Arial" w:ascii="Arial" w:hAnsi="Arial"/>
          <w:sz w:val="24"/>
          <w:szCs w:val="24"/>
        </w:rPr>
        <w:t>Instalacja połączeń wyrównawczych</w:t>
      </w:r>
      <w:bookmarkEnd w:id="96"/>
    </w:p>
    <w:p>
      <w:pPr>
        <w:pStyle w:val="Normal"/>
        <w:shd w:val="clear" w:color="auto" w:fill="FFFFFF"/>
        <w:ind w:firstLine="282" w:start="426" w:end="423"/>
        <w:rPr>
          <w:sz w:val="24"/>
          <w:szCs w:val="24"/>
        </w:rPr>
      </w:pPr>
      <w:r>
        <w:rPr>
          <w:color w:val="000000"/>
          <w:spacing w:val="6"/>
          <w:sz w:val="24"/>
          <w:szCs w:val="24"/>
        </w:rPr>
        <w:t xml:space="preserve">Dla uziemienia urządzeń i przewodów, na których nie występuje trwale potencjał </w:t>
      </w:r>
      <w:r>
        <w:rPr>
          <w:color w:val="000000"/>
          <w:spacing w:val="2"/>
          <w:sz w:val="24"/>
          <w:szCs w:val="24"/>
        </w:rPr>
        <w:t xml:space="preserve">elektryczny, należy wykonać instalacje połączeń wyrównawczych. Instalacja ta składa się </w:t>
      </w:r>
      <w:r>
        <w:rPr>
          <w:color w:val="000000"/>
          <w:sz w:val="24"/>
          <w:szCs w:val="24"/>
        </w:rPr>
        <w:t>z połączenia wyrównawczego: głównego (główna szyna wyrównawcza), miejscowego (dodatkowego - dla części przewodzących, jednocześnie dostępnych) i nieuziemionego. Ele</w:t>
      </w:r>
      <w:r>
        <w:rPr>
          <w:color w:val="000000"/>
          <w:spacing w:val="-1"/>
          <w:sz w:val="24"/>
          <w:szCs w:val="24"/>
        </w:rPr>
        <w:t>mentem wyrównującym potencjały jest przewód wyrównawczy.</w:t>
      </w:r>
    </w:p>
    <w:p>
      <w:pPr>
        <w:pStyle w:val="Normal"/>
        <w:shd w:val="clear" w:color="auto" w:fill="FFFFFF"/>
        <w:ind w:start="426" w:end="423"/>
        <w:rPr>
          <w:sz w:val="24"/>
          <w:szCs w:val="24"/>
        </w:rPr>
      </w:pPr>
      <w:r>
        <w:rPr>
          <w:color w:val="000000"/>
          <w:sz w:val="24"/>
          <w:szCs w:val="24"/>
        </w:rPr>
        <w:t>Połączenia wyrównawcze główne i miejscowe należy wybrać łącząc przewody ochronne z częściami przewodzącymi innych instalacji.</w:t>
      </w:r>
    </w:p>
    <w:p>
      <w:pPr>
        <w:pStyle w:val="Heading1"/>
        <w:numPr>
          <w:ilvl w:val="0"/>
          <w:numId w:val="13"/>
        </w:numPr>
        <w:ind w:hanging="360" w:start="426" w:end="423"/>
        <w:rPr>
          <w:rFonts w:ascii="Arial" w:hAnsi="Arial" w:cs="Arial"/>
          <w:sz w:val="24"/>
          <w:szCs w:val="24"/>
        </w:rPr>
      </w:pPr>
      <w:bookmarkStart w:id="98" w:name="_Toc215176937"/>
      <w:bookmarkStart w:id="99" w:name="_Toc535218215"/>
      <w:bookmarkEnd w:id="99"/>
      <w:r>
        <w:rPr>
          <w:rFonts w:cs="Arial" w:ascii="Arial" w:hAnsi="Arial"/>
          <w:sz w:val="24"/>
          <w:szCs w:val="24"/>
        </w:rPr>
        <w:t>KONTROLA JAKOŚCI ROBÓT</w:t>
      </w:r>
      <w:bookmarkEnd w:id="98"/>
    </w:p>
    <w:p>
      <w:pPr>
        <w:pStyle w:val="Heading2"/>
        <w:numPr>
          <w:ilvl w:val="1"/>
          <w:numId w:val="13"/>
        </w:numPr>
        <w:ind w:hanging="432" w:start="426" w:end="423"/>
        <w:rPr>
          <w:rFonts w:ascii="Arial" w:hAnsi="Arial" w:cs="Arial"/>
          <w:sz w:val="24"/>
          <w:szCs w:val="24"/>
        </w:rPr>
      </w:pPr>
      <w:bookmarkStart w:id="100" w:name="_Toc215176938"/>
      <w:bookmarkStart w:id="101" w:name="_Toc535218216"/>
      <w:r>
        <w:rPr>
          <w:rFonts w:cs="Arial" w:ascii="Arial" w:hAnsi="Arial"/>
          <w:sz w:val="24"/>
          <w:szCs w:val="24"/>
        </w:rPr>
        <w:t>Ogólne zasady kontroli jakości robót podano w ST „Wymagania ogólne"</w:t>
      </w:r>
      <w:bookmarkEnd w:id="100"/>
      <w:bookmarkEnd w:id="101"/>
      <w:r>
        <w:rPr>
          <w:rFonts w:cs="Arial" w:ascii="Arial" w:hAnsi="Arial"/>
          <w:sz w:val="24"/>
          <w:szCs w:val="24"/>
        </w:rPr>
        <w:t xml:space="preserve"> </w:t>
      </w:r>
    </w:p>
    <w:p>
      <w:pPr>
        <w:pStyle w:val="Normal"/>
        <w:widowControl/>
        <w:ind w:firstLine="282" w:start="426" w:end="423"/>
        <w:rPr>
          <w:sz w:val="24"/>
          <w:szCs w:val="24"/>
        </w:rPr>
      </w:pPr>
      <w:r>
        <w:rPr>
          <w:color w:val="000000"/>
          <w:sz w:val="24"/>
          <w:szCs w:val="24"/>
        </w:rPr>
        <w:t xml:space="preserve">Wykonawca odpowiedzialny jest za pełną kontrolę robót i jakości materiałów. Wykonawca zapewni odpowiedni system kontroli obejmujący personel, laboratorium, sprzęt, zaopatrzenie i wszystkie urządzenia niezbędne do prowadzenia kontroli robót. </w:t>
      </w:r>
    </w:p>
    <w:p>
      <w:pPr>
        <w:pStyle w:val="Normal"/>
        <w:widowControl/>
        <w:ind w:start="426" w:end="423"/>
        <w:rPr>
          <w:sz w:val="24"/>
          <w:szCs w:val="24"/>
        </w:rPr>
      </w:pPr>
      <w:r>
        <w:rPr>
          <w:color w:val="000000"/>
          <w:sz w:val="24"/>
          <w:szCs w:val="24"/>
        </w:rPr>
        <w:t>Wykonawca będzie przeprowadzać pomiary i badania materiałów oraz robót z częstotliwością zapewniającą stwierdzenie, że roboty wykonano zgodnie z wymaganiami zawartymi w dokumentacji projektowej i SST.</w:t>
      </w:r>
    </w:p>
    <w:p>
      <w:pPr>
        <w:pStyle w:val="Normal"/>
        <w:widowControl/>
        <w:ind w:start="426" w:end="423"/>
        <w:rPr>
          <w:sz w:val="24"/>
          <w:szCs w:val="24"/>
        </w:rPr>
      </w:pPr>
      <w:r>
        <w:rPr>
          <w:color w:val="000000"/>
          <w:sz w:val="24"/>
          <w:szCs w:val="24"/>
        </w:rPr>
        <w:t>Minimalne wymagania co do zakresu badań i ich częstotliwości są określone w ST i normach koniecznych, do wykonania robót zgodnie z PB i PW</w:t>
      </w:r>
    </w:p>
    <w:p>
      <w:pPr>
        <w:pStyle w:val="Normal"/>
        <w:widowControl/>
        <w:ind w:start="426" w:end="423"/>
        <w:rPr>
          <w:sz w:val="24"/>
          <w:szCs w:val="24"/>
        </w:rPr>
      </w:pPr>
      <w:r>
        <w:rPr>
          <w:color w:val="000000"/>
          <w:sz w:val="24"/>
          <w:szCs w:val="24"/>
        </w:rPr>
        <w:t>W przypadku, gdy nie zostały one tam określone, Inspektor Nadzoru ustali jaki zakres kontroli jest konieczny, aby zapewnić wykonanie robót zgodnie z umową.</w:t>
      </w:r>
    </w:p>
    <w:p>
      <w:pPr>
        <w:pStyle w:val="Normal"/>
        <w:widowControl/>
        <w:ind w:start="426" w:end="423"/>
        <w:rPr>
          <w:sz w:val="24"/>
          <w:szCs w:val="24"/>
        </w:rPr>
      </w:pPr>
      <w:r>
        <w:rPr>
          <w:color w:val="000000"/>
          <w:sz w:val="24"/>
          <w:szCs w:val="24"/>
        </w:rPr>
        <w:t>Wszystkie koszty związane z organizowaniem i prowadzeniem badań materiałów i robót ponosi Wykonawca.</w:t>
      </w:r>
    </w:p>
    <w:p>
      <w:pPr>
        <w:pStyle w:val="Heading2"/>
        <w:numPr>
          <w:ilvl w:val="1"/>
          <w:numId w:val="13"/>
        </w:numPr>
        <w:ind w:hanging="432" w:start="426" w:end="423"/>
        <w:rPr>
          <w:rFonts w:ascii="Arial" w:hAnsi="Arial" w:cs="Arial"/>
          <w:sz w:val="24"/>
          <w:szCs w:val="24"/>
        </w:rPr>
      </w:pPr>
      <w:bookmarkStart w:id="102" w:name="_Toc215176939"/>
      <w:bookmarkStart w:id="103" w:name="_Toc535218217"/>
      <w:r>
        <w:rPr>
          <w:rFonts w:cs="Arial" w:ascii="Arial" w:hAnsi="Arial"/>
          <w:sz w:val="24"/>
          <w:szCs w:val="24"/>
        </w:rPr>
        <w:t xml:space="preserve">Szczegółowy wykaz oraz zakres badań pomontażowych i kontrolnych instalacji </w:t>
      </w:r>
      <w:r>
        <w:rPr>
          <w:rFonts w:cs="Arial" w:ascii="Arial" w:hAnsi="Arial"/>
          <w:spacing w:val="1"/>
          <w:sz w:val="24"/>
          <w:szCs w:val="24"/>
        </w:rPr>
        <w:t>piorunochronnych i uziemień</w:t>
      </w:r>
      <w:bookmarkEnd w:id="102"/>
      <w:bookmarkEnd w:id="103"/>
      <w:r>
        <w:rPr>
          <w:rFonts w:cs="Arial" w:ascii="Arial" w:hAnsi="Arial"/>
          <w:spacing w:val="1"/>
          <w:sz w:val="24"/>
          <w:szCs w:val="24"/>
        </w:rPr>
        <w:t xml:space="preserve"> </w:t>
      </w:r>
    </w:p>
    <w:p>
      <w:pPr>
        <w:pStyle w:val="Normal"/>
        <w:widowControl/>
        <w:ind w:firstLine="282" w:start="426" w:end="423"/>
        <w:rPr>
          <w:sz w:val="24"/>
          <w:szCs w:val="24"/>
        </w:rPr>
      </w:pPr>
      <w:r>
        <w:rPr>
          <w:color w:val="000000"/>
          <w:sz w:val="24"/>
          <w:szCs w:val="24"/>
        </w:rPr>
        <w:t xml:space="preserve">Zakres zawarty jest w normach PN-IEC 61024-1-2:2002, PN-IEC 60364-6-61:2000 i PN-E-04700:1998/Az1:2000 </w:t>
      </w:r>
      <w:r>
        <w:rPr>
          <w:color w:val="000000"/>
          <w:spacing w:val="-1"/>
          <w:sz w:val="24"/>
          <w:szCs w:val="24"/>
        </w:rPr>
        <w:t>-lub norma równorzędna</w:t>
      </w:r>
    </w:p>
    <w:p>
      <w:pPr>
        <w:pStyle w:val="Normal"/>
        <w:ind w:start="426" w:end="423"/>
        <w:rPr>
          <w:sz w:val="24"/>
          <w:szCs w:val="24"/>
        </w:rPr>
      </w:pPr>
      <w:r>
        <w:rPr>
          <w:sz w:val="24"/>
          <w:szCs w:val="24"/>
        </w:rPr>
        <w:t>Ponadto należy wykonać sprawdzenia odbiorcze składające się z oględzin czę</w:t>
      </w:r>
      <w:r>
        <w:rPr>
          <w:spacing w:val="-1"/>
          <w:sz w:val="24"/>
          <w:szCs w:val="24"/>
        </w:rPr>
        <w:t>ściowych i końcowych polegających na kontroli:</w:t>
      </w:r>
    </w:p>
    <w:p>
      <w:pPr>
        <w:pStyle w:val="Normal"/>
        <w:numPr>
          <w:ilvl w:val="0"/>
          <w:numId w:val="11"/>
        </w:numPr>
        <w:shd w:val="clear" w:color="auto" w:fill="FFFFFF"/>
        <w:tabs>
          <w:tab w:val="clear" w:pos="708"/>
          <w:tab w:val="left" w:pos="706" w:leader="none"/>
        </w:tabs>
        <w:ind w:start="426" w:end="423"/>
        <w:rPr>
          <w:sz w:val="24"/>
          <w:szCs w:val="24"/>
        </w:rPr>
      </w:pPr>
      <w:r>
        <w:rPr>
          <w:color w:val="000000"/>
          <w:sz w:val="24"/>
          <w:szCs w:val="24"/>
        </w:rPr>
        <w:t>zgodności dokumentacji powykonawczej z projektem i ze stanem faktycznym,</w:t>
      </w:r>
    </w:p>
    <w:p>
      <w:pPr>
        <w:pStyle w:val="Normal"/>
        <w:numPr>
          <w:ilvl w:val="0"/>
          <w:numId w:val="11"/>
        </w:numPr>
        <w:shd w:val="clear" w:color="auto" w:fill="FFFFFF"/>
        <w:tabs>
          <w:tab w:val="clear" w:pos="708"/>
          <w:tab w:val="left" w:pos="706" w:leader="none"/>
        </w:tabs>
        <w:ind w:start="426" w:end="423"/>
        <w:rPr>
          <w:sz w:val="24"/>
          <w:szCs w:val="24"/>
        </w:rPr>
      </w:pPr>
      <w:r>
        <w:rPr>
          <w:color w:val="000000"/>
          <w:sz w:val="24"/>
          <w:szCs w:val="24"/>
        </w:rPr>
        <w:t>zgodności połączeń z ustaloną w dokumentacji powykonawczej,</w:t>
      </w:r>
    </w:p>
    <w:p>
      <w:pPr>
        <w:pStyle w:val="Normal"/>
        <w:numPr>
          <w:ilvl w:val="0"/>
          <w:numId w:val="11"/>
        </w:numPr>
        <w:shd w:val="clear" w:color="auto" w:fill="FFFFFF"/>
        <w:tabs>
          <w:tab w:val="clear" w:pos="708"/>
          <w:tab w:val="left" w:pos="710" w:leader="none"/>
        </w:tabs>
        <w:ind w:hanging="289" w:start="426" w:end="423"/>
        <w:rPr>
          <w:sz w:val="24"/>
          <w:szCs w:val="24"/>
        </w:rPr>
      </w:pPr>
      <w:r>
        <w:rPr>
          <w:color w:val="000000"/>
          <w:spacing w:val="1"/>
          <w:sz w:val="24"/>
          <w:szCs w:val="24"/>
        </w:rPr>
        <w:t>stanu wszystkich elementów instalacji oraz stanu i kompletności dokumentacji do</w:t>
      </w:r>
      <w:r>
        <w:rPr>
          <w:color w:val="000000"/>
          <w:sz w:val="24"/>
          <w:szCs w:val="24"/>
        </w:rPr>
        <w:t>tyczącej zastosowanych materiałów</w:t>
      </w:r>
    </w:p>
    <w:p>
      <w:pPr>
        <w:pStyle w:val="Normal"/>
        <w:numPr>
          <w:ilvl w:val="0"/>
          <w:numId w:val="11"/>
        </w:numPr>
        <w:shd w:val="clear" w:color="auto" w:fill="FFFFFF"/>
        <w:tabs>
          <w:tab w:val="clear" w:pos="708"/>
          <w:tab w:val="left" w:pos="710" w:leader="none"/>
          <w:tab w:val="left" w:pos="6533" w:leader="none"/>
        </w:tabs>
        <w:ind w:hanging="289" w:start="426" w:end="423"/>
        <w:rPr>
          <w:sz w:val="24"/>
          <w:szCs w:val="24"/>
        </w:rPr>
      </w:pPr>
      <w:r>
        <w:rPr>
          <w:color w:val="000000"/>
          <w:sz w:val="24"/>
          <w:szCs w:val="24"/>
        </w:rPr>
        <w:t>pomiarach rezystancji instalacji lub jej elementów, zgodnie z zasadami przeprowa</w:t>
      </w:r>
      <w:r>
        <w:rPr>
          <w:color w:val="000000"/>
          <w:spacing w:val="-2"/>
          <w:sz w:val="24"/>
          <w:szCs w:val="24"/>
        </w:rPr>
        <w:t>dzania badań</w:t>
      </w:r>
    </w:p>
    <w:p>
      <w:pPr>
        <w:pStyle w:val="Normal"/>
        <w:shd w:val="clear" w:color="auto" w:fill="FFFFFF"/>
        <w:ind w:firstLine="289" w:start="426" w:end="423"/>
        <w:rPr>
          <w:sz w:val="24"/>
          <w:szCs w:val="24"/>
        </w:rPr>
      </w:pPr>
      <w:r>
        <w:rPr>
          <w:color w:val="000000"/>
          <w:spacing w:val="-1"/>
          <w:sz w:val="24"/>
          <w:szCs w:val="24"/>
        </w:rPr>
        <w:t>Pomiar rezystancji uziemienia wykonuje się przy prądzie przemiennym np. metodą tech</w:t>
        <w:softHyphen/>
      </w:r>
      <w:r>
        <w:rPr>
          <w:color w:val="000000"/>
          <w:spacing w:val="1"/>
          <w:sz w:val="24"/>
          <w:szCs w:val="24"/>
        </w:rPr>
        <w:t xml:space="preserve">niczną przy użyciu woltomierza, którego wewnętrzna impedancja musi wynosić minimum </w:t>
      </w:r>
      <w:r>
        <w:rPr>
          <w:color w:val="000000"/>
          <w:sz w:val="24"/>
          <w:szCs w:val="24"/>
        </w:rPr>
        <w:t xml:space="preserve">200 </w:t>
      </w:r>
      <w:r>
        <w:rPr>
          <w:rFonts w:eastAsia="Symbol"/>
          <w:color w:val="000000"/>
          <w:sz w:val="24"/>
          <w:szCs w:val="24"/>
        </w:rPr>
        <w:t></w:t>
      </w:r>
      <w:r>
        <w:rPr>
          <w:color w:val="000000"/>
          <w:sz w:val="24"/>
          <w:szCs w:val="24"/>
        </w:rPr>
        <w:t>/V (dla zasilania z sieci), oraz źródło prądu powinno być izolowane od sieci elektro</w:t>
      </w:r>
      <w:r>
        <w:rPr>
          <w:color w:val="000000"/>
          <w:spacing w:val="-1"/>
          <w:sz w:val="24"/>
          <w:szCs w:val="24"/>
        </w:rPr>
        <w:t>energetycznej np. przez transformator dwuuzwojeniowy.</w:t>
      </w:r>
    </w:p>
    <w:p>
      <w:pPr>
        <w:pStyle w:val="Normal"/>
        <w:numPr>
          <w:ilvl w:val="0"/>
          <w:numId w:val="8"/>
        </w:numPr>
        <w:shd w:val="clear" w:color="auto" w:fill="FFFFFF"/>
        <w:ind w:hanging="295" w:start="426" w:end="423"/>
        <w:rPr>
          <w:sz w:val="24"/>
          <w:szCs w:val="24"/>
        </w:rPr>
      </w:pPr>
      <w:r>
        <w:rPr>
          <w:color w:val="000000"/>
          <w:spacing w:val="2"/>
          <w:sz w:val="24"/>
          <w:szCs w:val="24"/>
        </w:rPr>
        <w:t xml:space="preserve">stanu i kompletności dokumentacji dotyczącej zastosowanych </w:t>
      </w:r>
      <w:r>
        <w:rPr>
          <w:color w:val="000000"/>
          <w:spacing w:val="-2"/>
          <w:sz w:val="24"/>
          <w:szCs w:val="24"/>
        </w:rPr>
        <w:t>materiałów,</w:t>
      </w:r>
    </w:p>
    <w:p>
      <w:pPr>
        <w:pStyle w:val="Normal"/>
        <w:numPr>
          <w:ilvl w:val="0"/>
          <w:numId w:val="8"/>
        </w:numPr>
        <w:shd w:val="clear" w:color="auto" w:fill="FFFFFF"/>
        <w:ind w:start="426" w:end="423"/>
        <w:rPr>
          <w:sz w:val="24"/>
          <w:szCs w:val="24"/>
        </w:rPr>
      </w:pPr>
      <w:r>
        <w:rPr>
          <w:color w:val="000000"/>
          <w:sz w:val="24"/>
          <w:szCs w:val="24"/>
        </w:rPr>
        <w:t>sprawdzenie ciągłości wszelkich przewodów występujących w danej instalacji,</w:t>
      </w:r>
    </w:p>
    <w:p>
      <w:pPr>
        <w:pStyle w:val="Normal"/>
        <w:numPr>
          <w:ilvl w:val="0"/>
          <w:numId w:val="8"/>
        </w:numPr>
        <w:shd w:val="clear" w:color="auto" w:fill="FFFFFF"/>
        <w:ind w:hanging="295" w:start="426" w:end="423"/>
        <w:rPr>
          <w:sz w:val="24"/>
          <w:szCs w:val="24"/>
        </w:rPr>
      </w:pPr>
      <w:r>
        <w:rPr>
          <w:color w:val="000000"/>
          <w:sz w:val="24"/>
          <w:szCs w:val="24"/>
        </w:rPr>
        <w:t>poprawności wykonania i zabezpieczenia połączeń śrubowych instalacji elektrycznej potwierdzonych protokołem przez wykonawcę montażu,</w:t>
      </w:r>
    </w:p>
    <w:p>
      <w:pPr>
        <w:pStyle w:val="Normal"/>
        <w:numPr>
          <w:ilvl w:val="0"/>
          <w:numId w:val="8"/>
        </w:numPr>
        <w:shd w:val="clear" w:color="auto" w:fill="FFFFFF"/>
        <w:ind w:hanging="295" w:start="426" w:end="423"/>
        <w:rPr>
          <w:sz w:val="24"/>
          <w:szCs w:val="24"/>
        </w:rPr>
      </w:pPr>
      <w:r>
        <w:rPr>
          <w:color w:val="000000"/>
          <w:spacing w:val="2"/>
          <w:sz w:val="24"/>
          <w:szCs w:val="24"/>
        </w:rPr>
        <w:t xml:space="preserve">poprawności wykonania montażu sprzętu instalacyjnego, urządzeń i odbiorników </w:t>
      </w:r>
      <w:r>
        <w:rPr>
          <w:color w:val="000000"/>
          <w:sz w:val="24"/>
          <w:szCs w:val="24"/>
        </w:rPr>
        <w:t>energii elektrycznej,</w:t>
      </w:r>
    </w:p>
    <w:p>
      <w:pPr>
        <w:pStyle w:val="Normal"/>
        <w:numPr>
          <w:ilvl w:val="0"/>
          <w:numId w:val="8"/>
        </w:numPr>
        <w:shd w:val="clear" w:color="auto" w:fill="FFFFFF"/>
        <w:ind w:start="426" w:end="423"/>
        <w:rPr>
          <w:sz w:val="24"/>
          <w:szCs w:val="24"/>
        </w:rPr>
      </w:pPr>
      <w:r>
        <w:rPr>
          <w:color w:val="000000"/>
          <w:sz w:val="24"/>
          <w:szCs w:val="24"/>
        </w:rPr>
        <w:t>poprawności zamontowania i dokonanej kompletacji opraw oświetleniowych,</w:t>
      </w:r>
    </w:p>
    <w:p>
      <w:pPr>
        <w:pStyle w:val="Normal"/>
        <w:numPr>
          <w:ilvl w:val="0"/>
          <w:numId w:val="8"/>
        </w:numPr>
        <w:shd w:val="clear" w:color="auto" w:fill="FFFFFF"/>
        <w:ind w:start="426" w:end="423"/>
        <w:rPr>
          <w:sz w:val="24"/>
          <w:szCs w:val="24"/>
        </w:rPr>
      </w:pPr>
      <w:r>
        <w:rPr>
          <w:color w:val="000000"/>
          <w:sz w:val="24"/>
          <w:szCs w:val="24"/>
        </w:rPr>
        <w:t>pomiar natężenia oświetlenia</w:t>
      </w:r>
    </w:p>
    <w:p>
      <w:pPr>
        <w:pStyle w:val="Normal"/>
        <w:numPr>
          <w:ilvl w:val="0"/>
          <w:numId w:val="8"/>
        </w:numPr>
        <w:shd w:val="clear" w:color="auto" w:fill="FFFFFF"/>
        <w:ind w:start="426" w:end="423"/>
        <w:rPr>
          <w:sz w:val="24"/>
          <w:szCs w:val="24"/>
        </w:rPr>
      </w:pPr>
      <w:r>
        <w:rPr>
          <w:color w:val="000000"/>
          <w:sz w:val="24"/>
          <w:szCs w:val="24"/>
        </w:rPr>
        <w:t>pomiarach rezystancji izolacji,</w:t>
      </w:r>
    </w:p>
    <w:p>
      <w:pPr>
        <w:pStyle w:val="Normal"/>
        <w:shd w:val="clear" w:color="auto" w:fill="FFFFFF"/>
        <w:ind w:start="426" w:end="423"/>
        <w:rPr>
          <w:sz w:val="24"/>
          <w:szCs w:val="24"/>
        </w:rPr>
      </w:pPr>
      <w:r>
        <w:rPr>
          <w:color w:val="000000"/>
          <w:spacing w:val="-1"/>
          <w:sz w:val="24"/>
          <w:szCs w:val="24"/>
        </w:rPr>
        <w:t>Rezystancja izolacji obwodów nie powinna być mniejsza niż 50 M</w:t>
      </w:r>
      <w:r>
        <w:rPr>
          <w:rFonts w:eastAsia="Symbol"/>
          <w:color w:val="000000"/>
          <w:spacing w:val="-1"/>
          <w:sz w:val="24"/>
          <w:szCs w:val="24"/>
        </w:rPr>
        <w:t></w:t>
      </w:r>
      <w:r>
        <w:rPr>
          <w:color w:val="000000"/>
          <w:spacing w:val="-1"/>
          <w:sz w:val="24"/>
          <w:szCs w:val="24"/>
        </w:rPr>
        <w:t xml:space="preserve">. Rezystancja izolacji </w:t>
      </w:r>
      <w:r>
        <w:rPr>
          <w:color w:val="000000"/>
          <w:spacing w:val="1"/>
          <w:sz w:val="24"/>
          <w:szCs w:val="24"/>
        </w:rPr>
        <w:t>poszczególnych obwodów wraz z urządzeniami nie powinna być mniejsza niż 20 M</w:t>
      </w:r>
      <w:r>
        <w:rPr>
          <w:rFonts w:eastAsia="Symbol"/>
          <w:color w:val="000000"/>
          <w:spacing w:val="-1"/>
          <w:sz w:val="24"/>
          <w:szCs w:val="24"/>
        </w:rPr>
        <w:t></w:t>
      </w:r>
      <w:r>
        <w:rPr>
          <w:color w:val="000000"/>
          <w:spacing w:val="1"/>
          <w:sz w:val="24"/>
          <w:szCs w:val="24"/>
        </w:rPr>
        <w:t>. Po</w:t>
      </w:r>
      <w:r>
        <w:rPr>
          <w:color w:val="000000"/>
          <w:sz w:val="24"/>
          <w:szCs w:val="24"/>
        </w:rPr>
        <w:t>miaru należy dokonać miernikiem rezystancji instalacji o napięciu 1 kV.</w:t>
      </w:r>
    </w:p>
    <w:p>
      <w:pPr>
        <w:pStyle w:val="Normal"/>
        <w:shd w:val="clear" w:color="auto" w:fill="FFFFFF"/>
        <w:ind w:start="426" w:end="423"/>
        <w:rPr>
          <w:sz w:val="24"/>
          <w:szCs w:val="24"/>
        </w:rPr>
      </w:pPr>
      <w:r>
        <w:rPr>
          <w:color w:val="000000"/>
          <w:sz w:val="24"/>
          <w:szCs w:val="24"/>
        </w:rPr>
        <w:t>Po wykonaniu oględzin należy sporządzić protokóły z przeprowadzonych badań zgodnie z wymogami zawartymi w normie PN-IEC 60364-6-61:2000.</w:t>
      </w:r>
      <w:r>
        <w:rPr>
          <w:color w:val="000000"/>
          <w:spacing w:val="-1"/>
          <w:sz w:val="24"/>
          <w:szCs w:val="24"/>
        </w:rPr>
        <w:t xml:space="preserve"> -lub norma równorzędna</w:t>
      </w:r>
    </w:p>
    <w:p>
      <w:pPr>
        <w:pStyle w:val="Normal"/>
        <w:tabs>
          <w:tab w:val="clear" w:pos="708"/>
          <w:tab w:val="left" w:pos="284" w:leader="none"/>
        </w:tabs>
        <w:rPr>
          <w:sz w:val="24"/>
          <w:szCs w:val="24"/>
        </w:rPr>
      </w:pPr>
      <w:r>
        <w:rPr>
          <w:rFonts w:eastAsia="" w:eastAsiaTheme="majorEastAsia"/>
          <w:color w:themeColor="accent1" w:themeShade="7f" w:val="243F60"/>
          <w:sz w:val="24"/>
          <w:szCs w:val="24"/>
        </w:rPr>
        <w:t xml:space="preserve">7.2.1 Pomiar obwodów ochrony przeciwporażeniowej oraz sprawdzenia  działania </w:t>
      </w:r>
    </w:p>
    <w:p>
      <w:pPr>
        <w:pStyle w:val="Normal"/>
        <w:ind w:firstLine="282" w:start="426"/>
        <w:rPr>
          <w:sz w:val="24"/>
          <w:szCs w:val="24"/>
        </w:rPr>
      </w:pPr>
      <w:r>
        <w:rPr>
          <w:sz w:val="24"/>
          <w:szCs w:val="24"/>
        </w:rPr>
        <w:t xml:space="preserve">Po wykonaniu instalacji i urządzeń ochrony przeciwporażeniowej powinna być przeprowadzona próba montażowa , tj.: </w:t>
      </w:r>
    </w:p>
    <w:p>
      <w:pPr>
        <w:pStyle w:val="Normal"/>
        <w:ind w:start="426"/>
        <w:rPr>
          <w:sz w:val="24"/>
          <w:szCs w:val="24"/>
        </w:rPr>
      </w:pPr>
      <w:r>
        <w:rPr>
          <w:sz w:val="24"/>
          <w:szCs w:val="24"/>
        </w:rPr>
        <w:t>•</w:t>
      </w:r>
      <w:r>
        <w:rPr>
          <w:sz w:val="24"/>
          <w:szCs w:val="24"/>
        </w:rPr>
        <w:t xml:space="preserve">oględziny wykonanej instalacji dodatkowej ochrony przeciwporażeniowej wraz z urządzeniami i aparatami wchodzącymi w jej skład, </w:t>
      </w:r>
    </w:p>
    <w:p>
      <w:pPr>
        <w:pStyle w:val="Normal"/>
        <w:ind w:start="426"/>
        <w:rPr>
          <w:sz w:val="24"/>
          <w:szCs w:val="24"/>
        </w:rPr>
      </w:pPr>
      <w:r>
        <w:rPr>
          <w:sz w:val="24"/>
          <w:szCs w:val="24"/>
        </w:rPr>
        <w:t>•</w:t>
      </w:r>
      <w:r>
        <w:rPr>
          <w:sz w:val="24"/>
          <w:szCs w:val="24"/>
        </w:rPr>
        <w:t xml:space="preserve">pomiary impedancji pętli zwarciowych w instalacji dodatkowej ochrony przeciwporażeniowej – w przypadku zerowania lub uziemienia, (W sieciach z systemem uziemień można dokonać pomiaru rezystancji styków połączenia urządzeń z przewodami uziemiającymi i rezystancji  przewodów uziemiających) </w:t>
      </w:r>
    </w:p>
    <w:p>
      <w:pPr>
        <w:pStyle w:val="Normal"/>
        <w:ind w:start="426"/>
        <w:rPr>
          <w:sz w:val="24"/>
          <w:szCs w:val="24"/>
        </w:rPr>
      </w:pPr>
      <w:r>
        <w:rPr>
          <w:sz w:val="24"/>
          <w:szCs w:val="24"/>
        </w:rPr>
        <w:t>•</w:t>
      </w:r>
      <w:r>
        <w:rPr>
          <w:sz w:val="24"/>
          <w:szCs w:val="24"/>
        </w:rPr>
        <w:t xml:space="preserve">pomiary rezystancji uziemienia, </w:t>
      </w:r>
    </w:p>
    <w:p>
      <w:pPr>
        <w:pStyle w:val="Normal"/>
        <w:ind w:start="426"/>
        <w:rPr>
          <w:sz w:val="24"/>
          <w:szCs w:val="24"/>
        </w:rPr>
      </w:pPr>
      <w:r>
        <w:rPr>
          <w:sz w:val="24"/>
          <w:szCs w:val="24"/>
        </w:rPr>
        <w:t>•</w:t>
      </w:r>
      <w:r>
        <w:rPr>
          <w:sz w:val="24"/>
          <w:szCs w:val="24"/>
        </w:rPr>
        <w:t xml:space="preserve">pomiary napięć dotykowych i krokowych rażenia w instalacji uziemień ochronnych urządzeń o napięciu powyżej 1 kV. </w:t>
      </w:r>
    </w:p>
    <w:p>
      <w:pPr>
        <w:pStyle w:val="Normal"/>
        <w:ind w:start="426"/>
        <w:rPr>
          <w:sz w:val="24"/>
          <w:szCs w:val="24"/>
        </w:rPr>
      </w:pPr>
      <w:r>
        <w:rPr>
          <w:sz w:val="24"/>
          <w:szCs w:val="24"/>
        </w:rPr>
        <w:t xml:space="preserve">UWAGA </w:t>
      </w:r>
    </w:p>
    <w:p>
      <w:pPr>
        <w:pStyle w:val="Normal"/>
        <w:ind w:start="426"/>
        <w:rPr>
          <w:sz w:val="24"/>
          <w:szCs w:val="24"/>
        </w:rPr>
      </w:pPr>
      <w:r>
        <w:rPr>
          <w:sz w:val="24"/>
          <w:szCs w:val="24"/>
        </w:rPr>
        <w:t xml:space="preserve">W tablicy przez pomiar rezystancji izolacji pomiędzy przewodami roboczymi a ziemią przewody ochronne PE należy traktować jako ziemię a przewód N jako przewód roboczy. </w:t>
      </w:r>
    </w:p>
    <w:p>
      <w:pPr>
        <w:pStyle w:val="Normal"/>
        <w:ind w:start="426"/>
        <w:rPr>
          <w:sz w:val="24"/>
          <w:szCs w:val="24"/>
        </w:rPr>
      </w:pPr>
      <w:r>
        <w:rPr>
          <w:sz w:val="24"/>
          <w:szCs w:val="24"/>
        </w:rPr>
        <w:t xml:space="preserve">Próba działania wyłącznika różnicowoprądowego testerem instalacji jest jednocześnie próba ciągłości przewodów ochronnych. </w:t>
      </w:r>
    </w:p>
    <w:p>
      <w:pPr>
        <w:pStyle w:val="Normal"/>
        <w:ind w:start="426"/>
        <w:rPr>
          <w:sz w:val="24"/>
          <w:szCs w:val="24"/>
        </w:rPr>
      </w:pPr>
      <w:r>
        <w:rPr>
          <w:sz w:val="24"/>
          <w:szCs w:val="24"/>
        </w:rPr>
        <w:t>Na podstawie oględzin instalacji dodatkowej ochrony przeciwporażeniowej należy sprawdzić, czy została ona wykonana zgodnie z dokumentacja techniczną.  Pomiary impedancji pętli zwarciowych należy przeprowadzić z zachowaniem przepisów bezpieczeństwa dla wszystkich zerowanych urządzeń lub uziemień</w:t>
      </w:r>
    </w:p>
    <w:p>
      <w:pPr>
        <w:pStyle w:val="Normal"/>
        <w:ind w:start="426"/>
        <w:rPr>
          <w:sz w:val="24"/>
          <w:szCs w:val="24"/>
        </w:rPr>
      </w:pPr>
      <w:r>
        <w:rPr>
          <w:sz w:val="24"/>
          <w:szCs w:val="24"/>
        </w:rPr>
        <w:t xml:space="preserve">. Protokół pomiaru skuteczności ochrony przed porażeniem powinien zawierać dokładne określenie badanego odbiornika, wymaganą krotność prądu zabezpieczenia, zmierzony prąd zwarciowy, zmierzoną impedancję pętli zwarciowej oraz wnioski. </w:t>
      </w:r>
    </w:p>
    <w:p>
      <w:pPr>
        <w:pStyle w:val="Normal"/>
        <w:shd w:val="clear" w:color="auto" w:fill="FFFFFF"/>
        <w:ind w:start="426" w:end="423"/>
        <w:rPr>
          <w:sz w:val="24"/>
          <w:szCs w:val="24"/>
        </w:rPr>
      </w:pPr>
      <w:r>
        <w:rPr>
          <w:color w:val="000000"/>
          <w:sz w:val="24"/>
          <w:szCs w:val="24"/>
        </w:rPr>
        <w:t xml:space="preserve">Równocześnie w protokóle należy uwidocznić stosowaną metodę pomiarową, typ i numer aparatu pomiarowego. </w:t>
      </w:r>
    </w:p>
    <w:p>
      <w:pPr>
        <w:pStyle w:val="Heading2"/>
        <w:numPr>
          <w:ilvl w:val="1"/>
          <w:numId w:val="13"/>
        </w:numPr>
        <w:ind w:hanging="432" w:start="426" w:end="423"/>
        <w:rPr>
          <w:rFonts w:ascii="Arial" w:hAnsi="Arial" w:cs="Arial"/>
          <w:sz w:val="24"/>
          <w:szCs w:val="24"/>
        </w:rPr>
      </w:pPr>
      <w:bookmarkStart w:id="104" w:name="_Toc215176940"/>
      <w:bookmarkStart w:id="105" w:name="_Toc535218218"/>
      <w:bookmarkEnd w:id="105"/>
      <w:r>
        <w:rPr>
          <w:rFonts w:cs="Arial" w:ascii="Arial" w:hAnsi="Arial"/>
          <w:sz w:val="24"/>
          <w:szCs w:val="24"/>
        </w:rPr>
        <w:t>Zasady postępowania z wadliwie wykonanymi robotami i materiałami</w:t>
      </w:r>
      <w:bookmarkEnd w:id="104"/>
    </w:p>
    <w:p>
      <w:pPr>
        <w:pStyle w:val="Normal"/>
        <w:shd w:val="clear" w:color="auto" w:fill="FFFFFF"/>
        <w:ind w:firstLine="282" w:start="426" w:end="423"/>
        <w:rPr>
          <w:sz w:val="24"/>
          <w:szCs w:val="24"/>
        </w:rPr>
      </w:pPr>
      <w:r>
        <w:rPr>
          <w:color w:val="000000"/>
          <w:sz w:val="24"/>
          <w:szCs w:val="24"/>
        </w:rPr>
        <w:t>Wszystkie materiały, urządzenia i aparaty nie spełniające wymagań podanych w odpowied</w:t>
      </w:r>
      <w:r>
        <w:rPr>
          <w:color w:val="000000"/>
          <w:spacing w:val="1"/>
          <w:sz w:val="24"/>
          <w:szCs w:val="24"/>
        </w:rPr>
        <w:t xml:space="preserve">nich punktach specyfikacji, zostaną odrzucone. Jeśli materiały nie spełniające wymagań </w:t>
      </w:r>
      <w:r>
        <w:rPr>
          <w:color w:val="000000"/>
          <w:sz w:val="24"/>
          <w:szCs w:val="24"/>
        </w:rPr>
        <w:t>zostały wbudowane lub zastosowane, to na polecenie Inspektora nadzoru Wykonawca wymieni je na właściwe, na własny koszt.</w:t>
      </w:r>
    </w:p>
    <w:p>
      <w:pPr>
        <w:pStyle w:val="Normal"/>
        <w:shd w:val="clear" w:color="auto" w:fill="FFFFFF"/>
        <w:ind w:start="426" w:end="423"/>
        <w:rPr>
          <w:sz w:val="24"/>
          <w:szCs w:val="24"/>
        </w:rPr>
      </w:pPr>
      <w:r>
        <w:rPr>
          <w:color w:val="000000"/>
          <w:spacing w:val="-1"/>
          <w:sz w:val="24"/>
          <w:szCs w:val="24"/>
        </w:rPr>
        <w:t xml:space="preserve">Na pisemne wystąpienie Wykonawcy Inspektor nadzoru może uznać wadę za nie mającą </w:t>
      </w:r>
      <w:r>
        <w:rPr>
          <w:color w:val="000000"/>
          <w:spacing w:val="1"/>
          <w:sz w:val="24"/>
          <w:szCs w:val="24"/>
        </w:rPr>
        <w:t>zasadniczego wpływu na jakość funkcjonowania instalacji i ustalić zakres i wielkość potrą</w:t>
        <w:softHyphen/>
      </w:r>
      <w:bookmarkStart w:id="106" w:name="_Toc178478201"/>
      <w:bookmarkStart w:id="107" w:name="_Toc432063610"/>
      <w:bookmarkEnd w:id="106"/>
      <w:bookmarkEnd w:id="107"/>
      <w:r>
        <w:rPr>
          <w:color w:val="000000"/>
          <w:sz w:val="24"/>
          <w:szCs w:val="24"/>
        </w:rPr>
        <w:t>ceń za obniżoną jakość.</w:t>
      </w:r>
    </w:p>
    <w:p>
      <w:pPr>
        <w:pStyle w:val="ListParagraph"/>
        <w:keepNext w:val="true"/>
        <w:keepLines/>
        <w:numPr>
          <w:ilvl w:val="0"/>
          <w:numId w:val="15"/>
        </w:numPr>
        <w:spacing w:before="40" w:after="0"/>
        <w:ind w:hanging="360" w:start="426" w:end="423"/>
        <w:contextualSpacing/>
        <w:outlineLvl w:val="1"/>
        <w:rPr>
          <w:rFonts w:eastAsia="" w:eastAsiaTheme="majorEastAsia"/>
          <w:color w:themeColor="accent1" w:themeShade="bf" w:val="365F91"/>
          <w:sz w:val="24"/>
          <w:szCs w:val="24"/>
        </w:rPr>
      </w:pPr>
      <w:r>
        <w:rPr>
          <w:rFonts w:eastAsia="" w:eastAsiaTheme="majorEastAsia"/>
          <w:color w:themeColor="accent1" w:themeShade="bf" w:val="365F91"/>
          <w:sz w:val="24"/>
          <w:szCs w:val="24"/>
        </w:rPr>
      </w:r>
      <w:bookmarkStart w:id="108" w:name="_Toc215176941"/>
      <w:bookmarkStart w:id="109" w:name="_Toc115621695"/>
      <w:bookmarkStart w:id="110" w:name="_Toc51793602"/>
      <w:bookmarkStart w:id="111" w:name="_Toc500062450"/>
      <w:bookmarkStart w:id="112" w:name="_Toc500062341"/>
      <w:bookmarkStart w:id="113" w:name="_Toc500006598"/>
      <w:bookmarkStart w:id="114" w:name="_Toc521263379"/>
      <w:bookmarkStart w:id="115" w:name="_Toc521263619"/>
      <w:bookmarkStart w:id="116" w:name="_Toc521263826"/>
      <w:bookmarkStart w:id="117" w:name="_Toc521263931"/>
      <w:bookmarkStart w:id="118" w:name="_Toc535218219"/>
      <w:bookmarkStart w:id="119" w:name="_Toc215176941"/>
      <w:bookmarkStart w:id="120" w:name="_Toc115621695"/>
      <w:bookmarkStart w:id="121" w:name="_Toc51793602"/>
      <w:bookmarkStart w:id="122" w:name="_Toc500062450"/>
      <w:bookmarkStart w:id="123" w:name="_Toc500062341"/>
      <w:bookmarkStart w:id="124" w:name="_Toc500006598"/>
      <w:bookmarkStart w:id="125" w:name="_Toc521263379"/>
      <w:bookmarkStart w:id="126" w:name="_Toc521263619"/>
      <w:bookmarkStart w:id="127" w:name="_Toc521263826"/>
      <w:bookmarkStart w:id="128" w:name="_Toc521263931"/>
      <w:bookmarkStart w:id="129" w:name="_Toc535218219"/>
      <w:bookmarkEnd w:id="119"/>
      <w:bookmarkEnd w:id="120"/>
      <w:bookmarkEnd w:id="121"/>
      <w:bookmarkEnd w:id="122"/>
      <w:bookmarkEnd w:id="123"/>
      <w:bookmarkEnd w:id="124"/>
      <w:bookmarkEnd w:id="125"/>
      <w:bookmarkEnd w:id="126"/>
      <w:bookmarkEnd w:id="127"/>
      <w:bookmarkEnd w:id="128"/>
      <w:bookmarkEnd w:id="129"/>
    </w:p>
    <w:p>
      <w:pPr>
        <w:pStyle w:val="Heading2"/>
        <w:numPr>
          <w:ilvl w:val="1"/>
          <w:numId w:val="13"/>
        </w:numPr>
        <w:ind w:hanging="432" w:start="426" w:end="423"/>
        <w:rPr>
          <w:rFonts w:ascii="Arial" w:hAnsi="Arial" w:cs="Arial"/>
          <w:sz w:val="24"/>
          <w:szCs w:val="24"/>
        </w:rPr>
      </w:pPr>
      <w:bookmarkStart w:id="130" w:name="_Toc215176942"/>
      <w:bookmarkStart w:id="131" w:name="_Toc535218220"/>
      <w:bookmarkStart w:id="132" w:name="_Toc432063611"/>
      <w:bookmarkEnd w:id="131"/>
      <w:bookmarkEnd w:id="132"/>
      <w:r>
        <w:rPr>
          <w:rFonts w:cs="Arial" w:ascii="Arial" w:hAnsi="Arial"/>
          <w:sz w:val="24"/>
          <w:szCs w:val="24"/>
        </w:rPr>
        <w:t>Program zapewniania jakości</w:t>
      </w:r>
      <w:bookmarkEnd w:id="130"/>
    </w:p>
    <w:p>
      <w:pPr>
        <w:pStyle w:val="SpecyfikacjaSSTpodstawowy"/>
        <w:ind w:firstLine="282" w:start="426" w:end="423"/>
        <w:jc w:val="start"/>
        <w:rPr>
          <w:rFonts w:ascii="Arial" w:hAnsi="Arial" w:cs="Arial"/>
        </w:rPr>
      </w:pPr>
      <w:r>
        <w:rPr>
          <w:rFonts w:cs="Arial" w:ascii="Arial" w:hAnsi="Arial"/>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pPr>
        <w:pStyle w:val="SpecyfikacjaSSTpodstawowy"/>
        <w:ind w:start="426" w:end="423"/>
        <w:jc w:val="start"/>
        <w:rPr>
          <w:rFonts w:ascii="Arial" w:hAnsi="Arial" w:cs="Arial"/>
        </w:rPr>
      </w:pPr>
      <w:r>
        <w:rPr>
          <w:rFonts w:cs="Arial" w:ascii="Arial" w:hAnsi="Arial"/>
        </w:rPr>
        <w:t>Program zapewnienia jakości winien zawierać:</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organizację wykonania robót, w tym termin i sposób prowadzenia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organizację ruchu na budowie wraz z oznakowaniem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plan bezpieczeństwa i ochrony zdrowia,</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wykaz zespołów roboczych, ich kwalifikacje i przygotowanie praktyczne,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wykaz osób odpowiedzialnych za jakość i terminowość wykonania poszczególnych elementów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system (sposób i procedurę) proponowanej kontroli i sterowania jakością wykonywanych robót.</w:t>
      </w:r>
    </w:p>
    <w:p>
      <w:pPr>
        <w:pStyle w:val="Heading2"/>
        <w:numPr>
          <w:ilvl w:val="1"/>
          <w:numId w:val="13"/>
        </w:numPr>
        <w:ind w:hanging="432" w:start="426" w:end="423"/>
        <w:rPr>
          <w:rFonts w:ascii="Arial" w:hAnsi="Arial" w:cs="Arial"/>
          <w:sz w:val="24"/>
          <w:szCs w:val="24"/>
        </w:rPr>
      </w:pPr>
      <w:bookmarkStart w:id="133" w:name="_Toc215176943"/>
      <w:bookmarkStart w:id="134" w:name="_Toc535218221"/>
      <w:bookmarkStart w:id="135" w:name="_Toc432063612"/>
      <w:bookmarkEnd w:id="134"/>
      <w:bookmarkEnd w:id="135"/>
      <w:r>
        <w:rPr>
          <w:rFonts w:cs="Arial" w:ascii="Arial" w:hAnsi="Arial"/>
          <w:sz w:val="24"/>
          <w:szCs w:val="24"/>
        </w:rPr>
        <w:t>Zasady kontroli jakości i robót</w:t>
      </w:r>
      <w:bookmarkEnd w:id="133"/>
    </w:p>
    <w:p>
      <w:pPr>
        <w:pStyle w:val="SpecyfikacjaSSTpodstawowy"/>
        <w:ind w:firstLine="282" w:start="426" w:end="423"/>
        <w:jc w:val="start"/>
        <w:rPr>
          <w:rFonts w:ascii="Arial" w:hAnsi="Arial" w:cs="Arial"/>
        </w:rPr>
      </w:pPr>
      <w:r>
        <w:rPr>
          <w:rFonts w:cs="Arial" w:ascii="Arial" w:hAnsi="Arial"/>
        </w:rPr>
        <w:t xml:space="preserve">Wykonawca odpowiedzialny jest za pełną kontrolę robót i jakości materiałów. Wykonawca zapewni odpowiedni system kontroli obejmujący personel, laboratorium, sprzęt, zaopatrzenie i wszystkie urządzenia niezbędne do prowadzenia kontroli robót. </w:t>
      </w:r>
    </w:p>
    <w:p>
      <w:pPr>
        <w:pStyle w:val="SpecyfikacjaSSTpodstawowy"/>
        <w:ind w:start="426" w:end="423"/>
        <w:jc w:val="start"/>
        <w:rPr>
          <w:rFonts w:ascii="Arial" w:hAnsi="Arial" w:cs="Arial"/>
        </w:rPr>
      </w:pPr>
      <w:r>
        <w:rPr>
          <w:rFonts w:cs="Arial" w:ascii="Arial" w:hAnsi="Arial"/>
        </w:rPr>
        <w:t>Wykonawca będzie przeprowadzać pomiary i badania materiałów oraz robót z częstotliwością zapewniającą stwierdzenie, że roboty wykonano zgodnie z wymaganiami zawartymi w dokumentacji projektowej i SST.</w:t>
      </w:r>
    </w:p>
    <w:p>
      <w:pPr>
        <w:pStyle w:val="SpecyfikacjaSSTpodstawowy"/>
        <w:ind w:start="426" w:end="423"/>
        <w:jc w:val="start"/>
        <w:rPr>
          <w:rFonts w:ascii="Arial" w:hAnsi="Arial" w:cs="Arial"/>
        </w:rPr>
      </w:pPr>
      <w:r>
        <w:rPr>
          <w:rFonts w:cs="Arial" w:ascii="Arial" w:hAnsi="Arial"/>
        </w:rPr>
        <w:t>Minimalne wymagania co do zakresu badań i ich częstotliwości są określone w ST i normach koniecznych, do wykonania robót zgodnie z PB i PW</w:t>
      </w:r>
    </w:p>
    <w:p>
      <w:pPr>
        <w:pStyle w:val="SpecyfikacjaSSTpodstawowy"/>
        <w:ind w:start="426" w:end="423"/>
        <w:jc w:val="start"/>
        <w:rPr>
          <w:rFonts w:ascii="Arial" w:hAnsi="Arial" w:cs="Arial"/>
        </w:rPr>
      </w:pPr>
      <w:r>
        <w:rPr>
          <w:rFonts w:cs="Arial" w:ascii="Arial" w:hAnsi="Arial"/>
        </w:rPr>
        <w:t>W przypadku, gdy nie zostały one tam określone, Inspektor Nadzoru ustali jaki zakres kontroli jest konieczny, aby zapewnić wykonanie robót zgodnie z umową.</w:t>
      </w:r>
    </w:p>
    <w:p>
      <w:pPr>
        <w:pStyle w:val="SpecyfikacjaSSTpodstawowy"/>
        <w:ind w:start="426" w:end="423"/>
        <w:jc w:val="start"/>
        <w:rPr>
          <w:rFonts w:ascii="Arial" w:hAnsi="Arial" w:cs="Arial"/>
        </w:rPr>
      </w:pPr>
      <w:r>
        <w:rPr>
          <w:rFonts w:cs="Arial" w:ascii="Arial" w:hAnsi="Arial"/>
        </w:rPr>
        <w:t>Wszystkie koszty związane z organizowaniem i prowadzeniem badań materiałów i robót ponosi Wykonawca.</w:t>
      </w:r>
    </w:p>
    <w:p>
      <w:pPr>
        <w:pStyle w:val="Heading2"/>
        <w:numPr>
          <w:ilvl w:val="1"/>
          <w:numId w:val="13"/>
        </w:numPr>
        <w:ind w:hanging="432" w:start="426" w:end="423"/>
        <w:rPr>
          <w:rFonts w:ascii="Arial" w:hAnsi="Arial" w:cs="Arial"/>
          <w:sz w:val="24"/>
          <w:szCs w:val="24"/>
        </w:rPr>
      </w:pPr>
      <w:bookmarkStart w:id="136" w:name="_Toc215176944"/>
      <w:bookmarkStart w:id="137" w:name="_Toc535218222"/>
      <w:bookmarkStart w:id="138" w:name="_Toc432063613"/>
      <w:bookmarkEnd w:id="137"/>
      <w:bookmarkEnd w:id="138"/>
      <w:r>
        <w:rPr>
          <w:rFonts w:cs="Arial" w:ascii="Arial" w:hAnsi="Arial"/>
          <w:sz w:val="24"/>
          <w:szCs w:val="24"/>
        </w:rPr>
        <w:t>Pobieranie próbek</w:t>
      </w:r>
      <w:bookmarkEnd w:id="136"/>
    </w:p>
    <w:p>
      <w:pPr>
        <w:pStyle w:val="SpecyfikacjaSSTpodstawowy"/>
        <w:ind w:firstLine="282" w:start="426" w:end="423"/>
        <w:jc w:val="start"/>
        <w:rPr>
          <w:rFonts w:ascii="Arial" w:hAnsi="Arial" w:cs="Arial"/>
        </w:rPr>
      </w:pPr>
      <w:r>
        <w:rPr>
          <w:rFonts w:cs="Arial" w:ascii="Arial" w:hAnsi="Arial"/>
        </w:rPr>
        <w:t>Próbki będą pobierane losowo. Zaleca się stosowanie statystycznych metod pobierania próbek, opartych na zasadzie, że wszystkie jednostkowe elementy produkcji mogą być z jednakowym prawdopodobieństwem wytypowane do badań.</w:t>
      </w:r>
    </w:p>
    <w:p>
      <w:pPr>
        <w:pStyle w:val="SpecyfikacjaSSTpodstawowy"/>
        <w:ind w:start="426" w:end="423"/>
        <w:jc w:val="start"/>
        <w:rPr>
          <w:rFonts w:ascii="Arial" w:hAnsi="Arial" w:cs="Arial"/>
        </w:rPr>
      </w:pPr>
      <w:r>
        <w:rPr>
          <w:rFonts w:cs="Arial" w:ascii="Arial" w:hAnsi="Arial"/>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Inwestor.</w:t>
      </w:r>
    </w:p>
    <w:p>
      <w:pPr>
        <w:pStyle w:val="SpecyfikacjaSSTpodstawowy"/>
        <w:ind w:start="426" w:end="423"/>
        <w:jc w:val="start"/>
        <w:rPr>
          <w:rFonts w:ascii="Arial" w:hAnsi="Arial" w:cs="Arial"/>
        </w:rPr>
      </w:pPr>
      <w:r>
        <w:rPr>
          <w:rFonts w:cs="Arial" w:ascii="Arial" w:hAnsi="Arial"/>
        </w:rPr>
        <w:t>Pojemniki do pobierania próbek będą dostarczone przez Wykonawcę i zatwierdzone przez Inspektora Nadzoru. Próbki dostarczone przez Wykonawcę do badań będą odpowiednio opisane i oznakowane, w sposób zaakceptowany przez Inspektora Nadzoru.</w:t>
      </w:r>
    </w:p>
    <w:p>
      <w:pPr>
        <w:pStyle w:val="Heading2"/>
        <w:numPr>
          <w:ilvl w:val="1"/>
          <w:numId w:val="13"/>
        </w:numPr>
        <w:ind w:hanging="432" w:start="426" w:end="423"/>
        <w:rPr>
          <w:rFonts w:ascii="Arial" w:hAnsi="Arial" w:cs="Arial"/>
          <w:sz w:val="24"/>
          <w:szCs w:val="24"/>
        </w:rPr>
      </w:pPr>
      <w:bookmarkStart w:id="139" w:name="_Toc215176945"/>
      <w:bookmarkStart w:id="140" w:name="_Toc535218223"/>
      <w:bookmarkStart w:id="141" w:name="_Toc178478203"/>
      <w:bookmarkStart w:id="142" w:name="_Toc432063614"/>
      <w:bookmarkEnd w:id="140"/>
      <w:bookmarkEnd w:id="141"/>
      <w:bookmarkEnd w:id="142"/>
      <w:r>
        <w:rPr>
          <w:rFonts w:cs="Arial" w:ascii="Arial" w:hAnsi="Arial"/>
          <w:sz w:val="24"/>
          <w:szCs w:val="24"/>
        </w:rPr>
        <w:t>Badania i pomiary</w:t>
      </w:r>
      <w:bookmarkEnd w:id="139"/>
    </w:p>
    <w:p>
      <w:pPr>
        <w:pStyle w:val="SpecyfikacjaSSTpodstawowy"/>
        <w:ind w:firstLine="282" w:start="426" w:end="423"/>
        <w:jc w:val="start"/>
        <w:rPr>
          <w:rFonts w:ascii="Arial" w:hAnsi="Arial" w:cs="Arial"/>
        </w:rPr>
      </w:pPr>
      <w:r>
        <w:rPr>
          <w:rFonts w:cs="Arial" w:ascii="Arial" w:hAnsi="Arial"/>
        </w:rPr>
        <w:t>Wszystkie badania i pomiary będą przeprowadzane zgodnie z wymaganiami norm i instrukcji. Przed przystąpieniem do pomiarów lub badań Wykonawca powiadomi Inspektora Nadzoru o rodzaju, miejscu i terminie pomiaru lub badania.</w:t>
      </w:r>
    </w:p>
    <w:p>
      <w:pPr>
        <w:pStyle w:val="SpecyfikacjaSSTpodstawowy"/>
        <w:ind w:start="426" w:end="423"/>
        <w:jc w:val="start"/>
        <w:rPr>
          <w:rFonts w:ascii="Arial" w:hAnsi="Arial" w:cs="Arial"/>
        </w:rPr>
      </w:pPr>
      <w:r>
        <w:rPr>
          <w:rFonts w:cs="Arial" w:ascii="Arial" w:hAnsi="Arial"/>
        </w:rPr>
        <w:t>Po wykonaniu pomiaru lub badania Wykonawca przedstawi na piśmie ich wyniki do akceptacji Inspektora Nadzoru. Wyniki przechowywane będą na terenie budowy i okazywane na każde żądanie Inspektora Nadzoru.</w:t>
      </w:r>
    </w:p>
    <w:p>
      <w:pPr>
        <w:pStyle w:val="Heading2"/>
        <w:numPr>
          <w:ilvl w:val="1"/>
          <w:numId w:val="13"/>
        </w:numPr>
        <w:ind w:hanging="432" w:start="426" w:end="423"/>
        <w:rPr>
          <w:rFonts w:ascii="Arial" w:hAnsi="Arial" w:cs="Arial"/>
          <w:sz w:val="24"/>
          <w:szCs w:val="24"/>
        </w:rPr>
      </w:pPr>
      <w:bookmarkStart w:id="143" w:name="_Toc215176946"/>
      <w:bookmarkStart w:id="144" w:name="_Toc535218224"/>
      <w:bookmarkStart w:id="145" w:name="_Toc432063615"/>
      <w:bookmarkEnd w:id="144"/>
      <w:bookmarkEnd w:id="145"/>
      <w:r>
        <w:rPr>
          <w:rFonts w:cs="Arial" w:ascii="Arial" w:hAnsi="Arial"/>
          <w:sz w:val="24"/>
          <w:szCs w:val="24"/>
        </w:rPr>
        <w:t>Raporty z badań</w:t>
      </w:r>
      <w:bookmarkEnd w:id="143"/>
    </w:p>
    <w:p>
      <w:pPr>
        <w:pStyle w:val="SpecyfikacjaSSTpodstawowy"/>
        <w:ind w:firstLine="282" w:start="426" w:end="423"/>
        <w:jc w:val="start"/>
        <w:rPr>
          <w:rFonts w:ascii="Arial" w:hAnsi="Arial" w:cs="Arial"/>
        </w:rPr>
      </w:pPr>
      <w:r>
        <w:rPr>
          <w:rFonts w:cs="Arial" w:ascii="Arial" w:hAnsi="Arial"/>
        </w:rPr>
        <w:t>Wykonawca będzie przekazywać Inspektorowi Nadzoru kopie raportów z wynikami badań jak najszybciej, nie później jednak niż w terminie określonym w programie zapewnienia jakości.</w:t>
      </w:r>
    </w:p>
    <w:p>
      <w:pPr>
        <w:pStyle w:val="SpecyfikacjaSSTpodstawowy"/>
        <w:ind w:start="426" w:end="423"/>
        <w:jc w:val="start"/>
        <w:rPr>
          <w:rFonts w:ascii="Arial" w:hAnsi="Arial" w:cs="Arial"/>
        </w:rPr>
      </w:pPr>
      <w:r>
        <w:rPr>
          <w:rFonts w:cs="Arial" w:ascii="Arial" w:hAnsi="Arial"/>
        </w:rPr>
        <w:t>Wyniki badań (kopie) będą przekazywane Inspektorowi Nadzoru na formularzach według dostarczonego przez niego wzoru lub innych, przez niego zaaprobowanych.</w:t>
      </w:r>
    </w:p>
    <w:p>
      <w:pPr>
        <w:pStyle w:val="Heading2"/>
        <w:numPr>
          <w:ilvl w:val="1"/>
          <w:numId w:val="13"/>
        </w:numPr>
        <w:ind w:hanging="432" w:start="426" w:end="423"/>
        <w:rPr>
          <w:rFonts w:ascii="Arial" w:hAnsi="Arial" w:cs="Arial"/>
          <w:sz w:val="24"/>
          <w:szCs w:val="24"/>
        </w:rPr>
      </w:pPr>
      <w:bookmarkStart w:id="146" w:name="_Toc215176947"/>
      <w:bookmarkStart w:id="147" w:name="_Toc535218225"/>
      <w:bookmarkStart w:id="148" w:name="_Toc178478204"/>
      <w:bookmarkStart w:id="149" w:name="_Toc432063616"/>
      <w:bookmarkEnd w:id="147"/>
      <w:bookmarkEnd w:id="148"/>
      <w:bookmarkEnd w:id="149"/>
      <w:r>
        <w:rPr>
          <w:rFonts w:cs="Arial" w:ascii="Arial" w:hAnsi="Arial"/>
          <w:sz w:val="24"/>
          <w:szCs w:val="24"/>
        </w:rPr>
        <w:t>Badania prowadzone przez Inspektora Nadzoru</w:t>
      </w:r>
      <w:bookmarkEnd w:id="146"/>
    </w:p>
    <w:p>
      <w:pPr>
        <w:pStyle w:val="SpecyfikacjaSSTpodstawowy"/>
        <w:ind w:firstLine="282" w:start="426" w:end="423"/>
        <w:jc w:val="start"/>
        <w:rPr>
          <w:rFonts w:ascii="Arial" w:hAnsi="Arial" w:cs="Arial"/>
        </w:rPr>
      </w:pPr>
      <w:r>
        <w:rPr>
          <w:rFonts w:cs="Arial" w:ascii="Arial" w:hAnsi="Arial"/>
        </w:rPr>
        <w:t>Dla celów kontroli jakości i zatwierdzenia, Inspektor Nadzoru uprawniony jest do dokonywania kontroli, pobierania próbek i badania materiałów stosowanych przez Wykonawcę. Inspektor Nadzoru, po uprzedniej weryfikacji systemu kontroli robót prowadzonego przez Wykonawcę, będzie oceniać zgodność materiałów i robót z wymaganiami SST na podstawie wyników badań dostarczonych przez Wykonawcę. 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pPr>
        <w:pStyle w:val="Heading2"/>
        <w:numPr>
          <w:ilvl w:val="1"/>
          <w:numId w:val="13"/>
        </w:numPr>
        <w:ind w:hanging="432" w:start="426" w:end="423"/>
        <w:rPr>
          <w:rFonts w:ascii="Arial" w:hAnsi="Arial" w:cs="Arial"/>
          <w:sz w:val="24"/>
          <w:szCs w:val="24"/>
        </w:rPr>
      </w:pPr>
      <w:bookmarkStart w:id="150" w:name="_Toc215176948"/>
      <w:bookmarkStart w:id="151" w:name="_Toc535218226"/>
      <w:bookmarkStart w:id="152" w:name="_Toc432063617"/>
      <w:bookmarkEnd w:id="151"/>
      <w:bookmarkEnd w:id="152"/>
      <w:r>
        <w:rPr>
          <w:rFonts w:cs="Arial" w:ascii="Arial" w:hAnsi="Arial"/>
          <w:sz w:val="24"/>
          <w:szCs w:val="24"/>
        </w:rPr>
        <w:t>Certyfikaty i deklaracje</w:t>
      </w:r>
      <w:bookmarkEnd w:id="150"/>
    </w:p>
    <w:p>
      <w:pPr>
        <w:pStyle w:val="SpecyfikacjaSSTpodstawowy"/>
        <w:ind w:firstLine="282" w:start="426" w:end="423"/>
        <w:jc w:val="start"/>
        <w:rPr>
          <w:rFonts w:ascii="Arial" w:hAnsi="Arial" w:cs="Arial"/>
        </w:rPr>
      </w:pPr>
      <w:r>
        <w:rPr>
          <w:rFonts w:cs="Arial" w:ascii="Arial" w:hAnsi="Arial"/>
        </w:rPr>
        <w:t>Inspektor Nadzoru może dopuścić do użycia tylko te wyroby i materiały, które: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posiadają deklarację zgodności lub certyfikat zgodności z:</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Polską Normą lub</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aprobatą techniczną, w przypadku wyrobów, dla których nie ustanowiono Polskiej Normy, jeżeli nie są objęte certyfikacją określoną w pkt. 1 i które spełniają wymogi SST.</w:t>
      </w:r>
    </w:p>
    <w:p>
      <w:pPr>
        <w:pStyle w:val="SpecyfikacjaSSTpodstawowy"/>
        <w:shd w:val="clear" w:color="auto" w:fill="FFFFFF"/>
        <w:ind w:start="426" w:end="423"/>
        <w:jc w:val="start"/>
        <w:rPr>
          <w:rFonts w:ascii="Arial" w:hAnsi="Arial" w:cs="Arial"/>
        </w:rPr>
      </w:pPr>
      <w:r>
        <w:rPr>
          <w:rFonts w:cs="Arial" w:ascii="Arial" w:hAnsi="Arial"/>
          <w:color w:val="000000"/>
        </w:rPr>
        <w:t>W przypadku materiałów, dla których ww. dokumenty są wymagane przez SST, każda ich partia dostarczona do robót będzie posiadać te dokumenty, określające w sposób jedno-znaczny jej cechy. Jakiekolwiek materiały, które nie spełniają tych wymagań będą odrzucone</w:t>
      </w:r>
    </w:p>
    <w:p>
      <w:pPr>
        <w:pStyle w:val="Heading1"/>
        <w:numPr>
          <w:ilvl w:val="0"/>
          <w:numId w:val="13"/>
        </w:numPr>
        <w:ind w:hanging="360" w:start="426" w:end="423"/>
        <w:rPr>
          <w:rFonts w:ascii="Arial" w:hAnsi="Arial" w:cs="Arial"/>
          <w:sz w:val="24"/>
          <w:szCs w:val="24"/>
        </w:rPr>
      </w:pPr>
      <w:bookmarkStart w:id="153" w:name="_Toc215176949"/>
      <w:bookmarkStart w:id="154" w:name="_Toc535218227"/>
      <w:bookmarkEnd w:id="154"/>
      <w:r>
        <w:rPr>
          <w:rFonts w:cs="Arial" w:ascii="Arial" w:hAnsi="Arial"/>
          <w:sz w:val="24"/>
          <w:szCs w:val="24"/>
        </w:rPr>
        <w:t>Przedmiary i obmiary</w:t>
      </w:r>
      <w:bookmarkEnd w:id="153"/>
    </w:p>
    <w:p>
      <w:pPr>
        <w:pStyle w:val="Heading2"/>
        <w:numPr>
          <w:ilvl w:val="1"/>
          <w:numId w:val="13"/>
        </w:numPr>
        <w:ind w:hanging="432" w:start="426" w:end="423"/>
        <w:rPr>
          <w:rFonts w:ascii="Arial" w:hAnsi="Arial" w:cs="Arial"/>
          <w:sz w:val="24"/>
          <w:szCs w:val="24"/>
        </w:rPr>
      </w:pPr>
      <w:bookmarkStart w:id="155" w:name="_Toc215176950"/>
      <w:bookmarkStart w:id="156" w:name="_Toc535218236"/>
      <w:bookmarkStart w:id="157" w:name="_Toc115621711"/>
      <w:bookmarkStart w:id="158" w:name="_Toc51793618"/>
      <w:bookmarkStart w:id="159" w:name="_Toc500062444"/>
      <w:bookmarkStart w:id="160" w:name="_Toc500062335"/>
      <w:bookmarkStart w:id="161" w:name="_Toc500006592"/>
      <w:bookmarkStart w:id="162" w:name="_Toc521263395"/>
      <w:bookmarkStart w:id="163" w:name="_Toc521263635"/>
      <w:bookmarkStart w:id="164" w:name="_Toc521263842"/>
      <w:bookmarkStart w:id="165" w:name="_Toc521263947"/>
      <w:bookmarkStart w:id="166" w:name="_Toc535218235"/>
      <w:bookmarkStart w:id="167" w:name="_Toc115621704"/>
      <w:bookmarkStart w:id="168" w:name="_Toc51793611"/>
      <w:bookmarkStart w:id="169" w:name="_Toc500062437"/>
      <w:bookmarkStart w:id="170" w:name="_Toc500062328"/>
      <w:bookmarkStart w:id="171" w:name="_Toc500006585"/>
      <w:bookmarkStart w:id="172" w:name="_Toc498685980"/>
      <w:bookmarkStart w:id="173" w:name="_Toc498678673"/>
      <w:bookmarkStart w:id="174" w:name="_Toc521263388"/>
      <w:bookmarkStart w:id="175" w:name="_Toc521263628"/>
      <w:bookmarkStart w:id="176" w:name="_Toc521263835"/>
      <w:bookmarkStart w:id="177" w:name="_Toc521263940"/>
      <w:bookmarkStart w:id="178" w:name="_Toc535218228"/>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Pr>
          <w:rFonts w:cs="Arial" w:ascii="Arial" w:hAnsi="Arial"/>
          <w:sz w:val="24"/>
          <w:szCs w:val="24"/>
        </w:rPr>
        <w:t>Ogólne zasady przedmiaru i obmiaru</w:t>
      </w:r>
      <w:bookmarkEnd w:id="155"/>
      <w:bookmarkEnd w:id="156"/>
      <w:r>
        <w:rPr>
          <w:rFonts w:cs="Arial" w:ascii="Arial" w:hAnsi="Arial"/>
          <w:sz w:val="24"/>
          <w:szCs w:val="24"/>
        </w:rPr>
        <w:t xml:space="preserve"> </w:t>
      </w:r>
    </w:p>
    <w:p>
      <w:pPr>
        <w:pStyle w:val="Heading2"/>
        <w:shd w:val="clear" w:color="auto" w:fill="FFFFFF"/>
        <w:ind w:firstLine="282" w:start="426" w:end="423"/>
        <w:rPr>
          <w:rFonts w:ascii="Arial" w:hAnsi="Arial" w:cs="Arial"/>
          <w:sz w:val="24"/>
          <w:szCs w:val="24"/>
        </w:rPr>
      </w:pPr>
      <w:bookmarkStart w:id="179" w:name="_Toc215176951"/>
      <w:bookmarkStart w:id="180" w:name="_Toc535218237"/>
      <w:bookmarkEnd w:id="180"/>
      <w:r>
        <w:rPr>
          <w:rFonts w:eastAsia="Times New Roman" w:cs="Arial" w:ascii="Arial" w:hAnsi="Arial"/>
          <w:color w:val="000000"/>
          <w:sz w:val="24"/>
          <w:szCs w:val="24"/>
        </w:rPr>
        <w:t>Obmiar robót będzie odzwierciedlał faktyczny zakres wykonywanych robót zgodnie z PB, PW i ST, w jednostkach ustalonych w kosztorysie.</w:t>
      </w:r>
      <w:bookmarkEnd w:id="179"/>
    </w:p>
    <w:p>
      <w:pPr>
        <w:pStyle w:val="Normal"/>
        <w:shd w:val="clear" w:color="auto" w:fill="FFFFFF"/>
        <w:ind w:start="426" w:end="423"/>
        <w:rPr>
          <w:sz w:val="24"/>
          <w:szCs w:val="24"/>
        </w:rPr>
      </w:pPr>
      <w:r>
        <w:rPr>
          <w:color w:val="000000"/>
          <w:sz w:val="24"/>
          <w:szCs w:val="24"/>
        </w:rPr>
        <w:t>Obmiaru robót dokonuje Wykonawca po powiadomieniu Inspektora Nadzoru o zakresie obmierzanych robót i terminie obmiaru, co najmniej na trzy dni przed  terminem obmiaru.</w:t>
      </w:r>
    </w:p>
    <w:p>
      <w:pPr>
        <w:pStyle w:val="Normal"/>
        <w:shd w:val="clear" w:color="auto" w:fill="FFFFFF"/>
        <w:ind w:start="426" w:end="423"/>
        <w:rPr>
          <w:sz w:val="24"/>
          <w:szCs w:val="24"/>
        </w:rPr>
      </w:pPr>
      <w:r>
        <w:rPr>
          <w:color w:val="000000"/>
          <w:sz w:val="24"/>
          <w:szCs w:val="24"/>
        </w:rPr>
        <w:t xml:space="preserve">Wyniki obmiaru wpisywane będą do Książki obmiaru robót. </w:t>
      </w:r>
    </w:p>
    <w:p>
      <w:pPr>
        <w:pStyle w:val="Normal"/>
        <w:shd w:val="clear" w:color="auto" w:fill="FFFFFF"/>
        <w:ind w:start="426" w:end="423"/>
        <w:rPr>
          <w:sz w:val="24"/>
          <w:szCs w:val="24"/>
        </w:rPr>
      </w:pPr>
      <w:r>
        <w:rPr>
          <w:color w:val="000000"/>
          <w:sz w:val="24"/>
          <w:szCs w:val="24"/>
        </w:rPr>
        <w:t>Jakikolwiek błąd lub przeoczenie (opuszczenie) nie zwalnia Wykonawcy od obowiązku ukończenia wszystkich robót. Błędne dane zostaną poprawione wg ustaleń Inspektora Nadzoru dostarczonych Wykonawcy na piśmie.</w:t>
      </w:r>
    </w:p>
    <w:p>
      <w:pPr>
        <w:pStyle w:val="Normal"/>
        <w:shd w:val="clear" w:color="auto" w:fill="FFFFFF"/>
        <w:ind w:start="426" w:end="423"/>
        <w:rPr>
          <w:sz w:val="24"/>
          <w:szCs w:val="24"/>
        </w:rPr>
      </w:pPr>
      <w:r>
        <w:rPr>
          <w:color w:val="000000"/>
          <w:sz w:val="24"/>
          <w:szCs w:val="24"/>
        </w:rPr>
        <w:t>Obmiar gotowych robót będzie przeprowadzony zgodnie z częstością wymaganą do płatności na rzecz Wykonawcy określoną w umowie.</w:t>
      </w:r>
    </w:p>
    <w:p>
      <w:pPr>
        <w:pStyle w:val="Heading2"/>
        <w:numPr>
          <w:ilvl w:val="1"/>
          <w:numId w:val="13"/>
        </w:numPr>
        <w:ind w:hanging="432" w:start="426" w:end="423"/>
        <w:rPr>
          <w:rFonts w:ascii="Arial" w:hAnsi="Arial" w:cs="Arial"/>
          <w:sz w:val="24"/>
          <w:szCs w:val="24"/>
        </w:rPr>
      </w:pPr>
      <w:bookmarkStart w:id="181" w:name="_Toc215176952"/>
      <w:bookmarkStart w:id="182" w:name="_Toc535218238"/>
      <w:bookmarkEnd w:id="182"/>
      <w:r>
        <w:rPr>
          <w:rFonts w:cs="Arial" w:ascii="Arial" w:hAnsi="Arial"/>
          <w:sz w:val="24"/>
          <w:szCs w:val="24"/>
        </w:rPr>
        <w:t>Szczegółowe zasady przedmiaru i obmiaru robót montażowych instalacji elektrycznej</w:t>
      </w:r>
      <w:bookmarkEnd w:id="181"/>
    </w:p>
    <w:p>
      <w:pPr>
        <w:pStyle w:val="Normal"/>
        <w:shd w:val="clear" w:color="auto" w:fill="FFFFFF"/>
        <w:ind w:firstLine="282" w:start="426" w:end="423"/>
        <w:rPr>
          <w:sz w:val="24"/>
          <w:szCs w:val="24"/>
        </w:rPr>
      </w:pPr>
      <w:r>
        <w:rPr>
          <w:color w:val="000000"/>
          <w:spacing w:val="1"/>
          <w:sz w:val="24"/>
          <w:szCs w:val="24"/>
        </w:rPr>
        <w:t>Obmiaru robót dokonuje się z natury {wykonanej roboty) przyjmując jednostki miary odpo</w:t>
      </w:r>
      <w:r>
        <w:rPr>
          <w:color w:val="000000"/>
          <w:sz w:val="24"/>
          <w:szCs w:val="24"/>
        </w:rPr>
        <w:t>wiadające zawartym w dokumentacji i tak:</w:t>
      </w:r>
    </w:p>
    <w:p>
      <w:pPr>
        <w:pStyle w:val="Normal"/>
        <w:numPr>
          <w:ilvl w:val="0"/>
          <w:numId w:val="4"/>
        </w:numPr>
        <w:shd w:val="clear" w:color="auto" w:fill="FFFFFF"/>
        <w:ind w:start="426" w:end="423"/>
        <w:rPr>
          <w:sz w:val="24"/>
          <w:szCs w:val="24"/>
        </w:rPr>
      </w:pPr>
      <w:r>
        <w:rPr>
          <w:color w:val="000000"/>
          <w:sz w:val="24"/>
          <w:szCs w:val="24"/>
        </w:rPr>
        <w:t>dla osprzętu montażowego dla kabli i przewodów: szt., kpl., m,</w:t>
      </w:r>
    </w:p>
    <w:p>
      <w:pPr>
        <w:pStyle w:val="Normal"/>
        <w:numPr>
          <w:ilvl w:val="0"/>
          <w:numId w:val="4"/>
        </w:numPr>
        <w:shd w:val="clear" w:color="auto" w:fill="FFFFFF"/>
        <w:ind w:start="426" w:end="423"/>
        <w:rPr>
          <w:sz w:val="24"/>
          <w:szCs w:val="24"/>
        </w:rPr>
      </w:pPr>
      <w:r>
        <w:rPr>
          <w:color w:val="000000"/>
          <w:spacing w:val="-1"/>
          <w:sz w:val="24"/>
          <w:szCs w:val="24"/>
        </w:rPr>
        <w:t>dla kabli i przewodów: m,</w:t>
      </w:r>
    </w:p>
    <w:p>
      <w:pPr>
        <w:pStyle w:val="Normal"/>
        <w:numPr>
          <w:ilvl w:val="0"/>
          <w:numId w:val="4"/>
        </w:numPr>
        <w:shd w:val="clear" w:color="auto" w:fill="FFFFFF"/>
        <w:ind w:start="426" w:end="423"/>
        <w:rPr>
          <w:sz w:val="24"/>
          <w:szCs w:val="24"/>
        </w:rPr>
      </w:pPr>
      <w:r>
        <w:rPr>
          <w:color w:val="000000"/>
          <w:sz w:val="24"/>
          <w:szCs w:val="24"/>
        </w:rPr>
        <w:t>dla sprzętu łącznikowego: szt., kpl.,</w:t>
      </w:r>
    </w:p>
    <w:p>
      <w:pPr>
        <w:pStyle w:val="Normal"/>
        <w:numPr>
          <w:ilvl w:val="0"/>
          <w:numId w:val="4"/>
        </w:numPr>
        <w:shd w:val="clear" w:color="auto" w:fill="FFFFFF"/>
        <w:ind w:start="426" w:end="423"/>
        <w:rPr>
          <w:sz w:val="24"/>
          <w:szCs w:val="24"/>
        </w:rPr>
      </w:pPr>
      <w:r>
        <w:rPr>
          <w:color w:val="000000"/>
          <w:sz w:val="24"/>
          <w:szCs w:val="24"/>
        </w:rPr>
        <w:t>dla opraw oświetleniowych: szt., kpl.,</w:t>
      </w:r>
    </w:p>
    <w:p>
      <w:pPr>
        <w:pStyle w:val="Normal"/>
        <w:numPr>
          <w:ilvl w:val="0"/>
          <w:numId w:val="4"/>
        </w:numPr>
        <w:shd w:val="clear" w:color="auto" w:fill="FFFFFF"/>
        <w:ind w:start="426" w:end="423"/>
        <w:rPr>
          <w:sz w:val="24"/>
          <w:szCs w:val="24"/>
        </w:rPr>
      </w:pPr>
      <w:r>
        <w:rPr>
          <w:color w:val="000000"/>
          <w:sz w:val="24"/>
          <w:szCs w:val="24"/>
        </w:rPr>
        <w:t>dla urządzeń i odbiorników energii elektrycznej: szt., kpl.</w:t>
      </w:r>
    </w:p>
    <w:p>
      <w:pPr>
        <w:pStyle w:val="Normal"/>
        <w:numPr>
          <w:ilvl w:val="0"/>
          <w:numId w:val="4"/>
        </w:numPr>
        <w:shd w:val="clear" w:color="auto" w:fill="FFFFFF"/>
        <w:ind w:start="426" w:end="423"/>
        <w:rPr>
          <w:sz w:val="24"/>
          <w:szCs w:val="24"/>
        </w:rPr>
      </w:pPr>
      <w:r>
        <w:rPr>
          <w:color w:val="000000"/>
          <w:sz w:val="24"/>
          <w:szCs w:val="24"/>
        </w:rPr>
        <w:t>Dla elementów instalacji piorunochronnej szt., m</w:t>
      </w:r>
    </w:p>
    <w:p>
      <w:pPr>
        <w:pStyle w:val="Heading2"/>
        <w:numPr>
          <w:ilvl w:val="1"/>
          <w:numId w:val="13"/>
        </w:numPr>
        <w:ind w:hanging="432" w:start="426" w:end="423"/>
        <w:rPr>
          <w:rFonts w:ascii="Arial" w:hAnsi="Arial" w:cs="Arial"/>
          <w:sz w:val="24"/>
          <w:szCs w:val="24"/>
        </w:rPr>
      </w:pPr>
      <w:bookmarkStart w:id="183" w:name="_Toc215176953"/>
      <w:bookmarkStart w:id="184" w:name="_Toc535218239"/>
      <w:bookmarkEnd w:id="184"/>
      <w:r>
        <w:rPr>
          <w:rFonts w:cs="Arial" w:ascii="Arial" w:hAnsi="Arial"/>
          <w:sz w:val="24"/>
          <w:szCs w:val="24"/>
        </w:rPr>
        <w:t>Specyfikacja techniczna</w:t>
      </w:r>
      <w:bookmarkEnd w:id="183"/>
    </w:p>
    <w:p>
      <w:pPr>
        <w:pStyle w:val="Normal"/>
        <w:shd w:val="clear" w:color="auto" w:fill="FFFFFF"/>
        <w:ind w:firstLine="282" w:start="426" w:end="423"/>
        <w:rPr>
          <w:sz w:val="24"/>
          <w:szCs w:val="24"/>
        </w:rPr>
      </w:pPr>
      <w:r>
        <w:rPr>
          <w:color w:val="000000"/>
          <w:spacing w:val="1"/>
          <w:sz w:val="24"/>
          <w:szCs w:val="24"/>
        </w:rPr>
        <w:t>W specyfikacji technicznej szczegółowej dla robót montażowych instalacji elektrycznej opracowanej dla konkretnego przedmiotu zamówienia, można ustalić inne szczegółowe zasady przedmiaru i obmiaru przedmiotowych robót</w:t>
      </w:r>
    </w:p>
    <w:p>
      <w:pPr>
        <w:pStyle w:val="Normal"/>
        <w:shd w:val="clear" w:color="auto" w:fill="FFFFFF"/>
        <w:ind w:start="426" w:end="423"/>
        <w:rPr>
          <w:sz w:val="24"/>
          <w:szCs w:val="24"/>
        </w:rPr>
      </w:pPr>
      <w:r>
        <w:rPr>
          <w:color w:val="000000"/>
          <w:spacing w:val="1"/>
          <w:sz w:val="24"/>
          <w:szCs w:val="24"/>
        </w:rPr>
        <w:t>W szczególności można przyjąć zasady podane w katalogach zawierających jednostkowe nakłady rzeczowe dla odpowiednich robót.</w:t>
      </w:r>
    </w:p>
    <w:p>
      <w:pPr>
        <w:pStyle w:val="Normal"/>
        <w:shd w:val="clear" w:color="auto" w:fill="FFFFFF"/>
        <w:ind w:start="426" w:end="423"/>
        <w:rPr>
          <w:sz w:val="24"/>
          <w:szCs w:val="24"/>
        </w:rPr>
      </w:pPr>
      <w:r>
        <w:rPr>
          <w:sz w:val="24"/>
          <w:szCs w:val="24"/>
        </w:rPr>
      </w:r>
    </w:p>
    <w:p>
      <w:pPr>
        <w:pStyle w:val="Heading2"/>
        <w:numPr>
          <w:ilvl w:val="1"/>
          <w:numId w:val="13"/>
        </w:numPr>
        <w:ind w:hanging="432" w:start="426" w:end="423"/>
        <w:rPr>
          <w:rFonts w:ascii="Arial" w:hAnsi="Arial" w:cs="Arial"/>
          <w:sz w:val="24"/>
          <w:szCs w:val="24"/>
        </w:rPr>
      </w:pPr>
      <w:bookmarkStart w:id="185" w:name="_Toc215176954"/>
      <w:bookmarkStart w:id="186" w:name="_Toc535218240"/>
      <w:bookmarkStart w:id="187" w:name="_Toc1254364821"/>
      <w:bookmarkStart w:id="188" w:name="_Toc5000624621"/>
      <w:bookmarkStart w:id="189" w:name="_Toc4320636211"/>
      <w:bookmarkEnd w:id="186"/>
      <w:bookmarkEnd w:id="187"/>
      <w:bookmarkEnd w:id="188"/>
      <w:bookmarkEnd w:id="189"/>
      <w:r>
        <w:rPr>
          <w:rFonts w:cs="Arial" w:ascii="Arial" w:hAnsi="Arial"/>
          <w:sz w:val="24"/>
          <w:szCs w:val="24"/>
        </w:rPr>
        <w:t>Urządzenia i sprzęt pomiarowy</w:t>
      </w:r>
      <w:bookmarkEnd w:id="185"/>
    </w:p>
    <w:p>
      <w:pPr>
        <w:pStyle w:val="SpecyfikacjaSSTpodstawowy"/>
        <w:ind w:firstLine="282" w:start="426" w:end="423"/>
        <w:jc w:val="start"/>
        <w:rPr>
          <w:rFonts w:ascii="Arial" w:hAnsi="Arial" w:cs="Arial"/>
        </w:rPr>
      </w:pPr>
      <w:r>
        <w:rPr>
          <w:rFonts w:cs="Arial" w:ascii="Arial" w:hAnsi="Arial"/>
        </w:rPr>
        <w:t>Do pomiaru używane będą tylko sprawne narzędzia pomiarowe, posiadające czytelną skalę, jednoznacznie określającą wykonany pomiar, zaakceptowane prze Inspektora Nadzoru.</w:t>
      </w:r>
    </w:p>
    <w:p>
      <w:pPr>
        <w:pStyle w:val="SpecyfikacjaSSTpodstawowy"/>
        <w:ind w:start="426" w:end="423"/>
        <w:jc w:val="start"/>
        <w:rPr>
          <w:rFonts w:ascii="Arial" w:hAnsi="Arial" w:cs="Arial"/>
        </w:rPr>
      </w:pPr>
      <w:bookmarkStart w:id="190" w:name="_Toc1254364831"/>
      <w:bookmarkEnd w:id="190"/>
      <w:r>
        <w:rPr>
          <w:rFonts w:cs="Arial" w:ascii="Arial" w:hAnsi="Arial"/>
        </w:rPr>
        <w:t>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w:t>
      </w:r>
    </w:p>
    <w:p>
      <w:pPr>
        <w:pStyle w:val="Heading2"/>
        <w:numPr>
          <w:ilvl w:val="1"/>
          <w:numId w:val="13"/>
        </w:numPr>
        <w:ind w:hanging="432" w:start="426" w:end="423"/>
        <w:rPr>
          <w:rFonts w:ascii="Arial" w:hAnsi="Arial" w:cs="Arial"/>
          <w:sz w:val="24"/>
          <w:szCs w:val="24"/>
        </w:rPr>
      </w:pPr>
      <w:bookmarkStart w:id="191" w:name="_Toc215176955"/>
      <w:bookmarkStart w:id="192" w:name="_Toc535218241"/>
      <w:bookmarkStart w:id="193" w:name="_Toc5000624631"/>
      <w:bookmarkStart w:id="194" w:name="_Toc1784782091"/>
      <w:bookmarkStart w:id="195" w:name="_Toc4320636221"/>
      <w:bookmarkEnd w:id="192"/>
      <w:bookmarkEnd w:id="193"/>
      <w:bookmarkEnd w:id="194"/>
      <w:bookmarkEnd w:id="195"/>
      <w:r>
        <w:rPr>
          <w:rFonts w:cs="Arial" w:ascii="Arial" w:hAnsi="Arial"/>
          <w:sz w:val="24"/>
          <w:szCs w:val="24"/>
        </w:rPr>
        <w:t>Czas przeprowadzania obmiaru</w:t>
      </w:r>
      <w:bookmarkEnd w:id="191"/>
    </w:p>
    <w:p>
      <w:pPr>
        <w:pStyle w:val="SpecyfikacjaSSTpodstawowy"/>
        <w:ind w:firstLine="282" w:start="426" w:end="423"/>
        <w:jc w:val="start"/>
        <w:rPr>
          <w:rFonts w:ascii="Arial" w:hAnsi="Arial" w:cs="Arial"/>
        </w:rPr>
      </w:pPr>
      <w:r>
        <w:rPr>
          <w:rFonts w:cs="Arial" w:ascii="Arial" w:hAnsi="Arial"/>
        </w:rPr>
        <w:t>Obmiary będą przeprowadzane przed ostatecznym odbiorem robót, a także w przypadku występowania dłuższych przerw w robotach oraz w przypadku zmiany Wykonawcy.</w:t>
      </w:r>
    </w:p>
    <w:p>
      <w:pPr>
        <w:pStyle w:val="Heading2"/>
        <w:numPr>
          <w:ilvl w:val="1"/>
          <w:numId w:val="13"/>
        </w:numPr>
        <w:ind w:hanging="432" w:start="426" w:end="423"/>
        <w:rPr>
          <w:rFonts w:ascii="Arial" w:hAnsi="Arial" w:cs="Arial"/>
          <w:sz w:val="24"/>
          <w:szCs w:val="24"/>
        </w:rPr>
      </w:pPr>
      <w:bookmarkStart w:id="196" w:name="_Toc215176956"/>
      <w:bookmarkStart w:id="197" w:name="_Toc535218242"/>
      <w:bookmarkStart w:id="198" w:name="_Toc5000624641"/>
      <w:bookmarkStart w:id="199" w:name="_Toc1784782101"/>
      <w:bookmarkStart w:id="200" w:name="_Toc4320636231"/>
      <w:bookmarkEnd w:id="197"/>
      <w:bookmarkEnd w:id="198"/>
      <w:bookmarkEnd w:id="199"/>
      <w:bookmarkEnd w:id="200"/>
      <w:r>
        <w:rPr>
          <w:rFonts w:cs="Arial" w:ascii="Arial" w:hAnsi="Arial"/>
          <w:sz w:val="24"/>
          <w:szCs w:val="24"/>
        </w:rPr>
        <w:t>Wykonywanie obmiaru robót</w:t>
      </w:r>
      <w:bookmarkEnd w:id="196"/>
    </w:p>
    <w:p>
      <w:pPr>
        <w:pStyle w:val="SpecyfikacjaSSTpodstawowy"/>
        <w:ind w:firstLine="282" w:start="426" w:end="423"/>
        <w:jc w:val="start"/>
        <w:rPr>
          <w:rFonts w:ascii="Arial" w:hAnsi="Arial" w:cs="Arial"/>
        </w:rPr>
      </w:pPr>
      <w:r>
        <w:rPr>
          <w:rFonts w:cs="Arial" w:ascii="Arial" w:hAnsi="Arial"/>
        </w:rPr>
        <w:t>Roboty pomiarowe do obmiaru oraz nieodzowne obliczenia wykonywane będą w sposób zrozumiały i jednoznaczny. Wykonany obmiar robót zawierać będzie: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podstawę wyceny i opis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ilość przedmiarową robót (z kosztorysu ofertowego),</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obmiaru,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miejsce obmiaru przez podanie: nr pomieszczenia, nr detalu, elementu, wykonanie szkicu pomocniczego,</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obmiar robót z podaniem składowych obmiaru w kolejności:</w:t>
      </w:r>
    </w:p>
    <w:p>
      <w:pPr>
        <w:pStyle w:val="SpecyfikacjaSSTpodstawowy"/>
        <w:ind w:start="426" w:end="423"/>
        <w:jc w:val="start"/>
        <w:rPr>
          <w:rFonts w:ascii="Arial" w:hAnsi="Arial" w:cs="Arial"/>
        </w:rPr>
      </w:pPr>
      <w:r>
        <w:rPr>
          <w:rFonts w:cs="Arial" w:ascii="Arial" w:hAnsi="Arial"/>
        </w:rPr>
        <w:t>długość x szerokość x głębokość x wysokość x ilość = wynik obmiaru,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ilość robót wykonanych od początku budowy,</w:t>
      </w:r>
    </w:p>
    <w:p>
      <w:pPr>
        <w:pStyle w:val="SpecyfikacjaSSTpodstpunkt"/>
        <w:numPr>
          <w:ilvl w:val="0"/>
          <w:numId w:val="16"/>
        </w:numPr>
        <w:shd w:val="clear" w:color="auto" w:fill="FFFFFF"/>
        <w:tabs>
          <w:tab w:val="left" w:pos="360" w:leader="none"/>
          <w:tab w:val="left" w:pos="708" w:leader="none"/>
        </w:tabs>
        <w:ind w:hanging="360" w:start="426" w:end="423"/>
        <w:jc w:val="start"/>
        <w:rPr>
          <w:rFonts w:ascii="Arial" w:hAnsi="Arial" w:cs="Arial"/>
        </w:rPr>
      </w:pPr>
      <w:bookmarkStart w:id="201" w:name="_Hlk500007101"/>
      <w:bookmarkEnd w:id="201"/>
      <w:r>
        <w:rPr>
          <w:rFonts w:cs="Arial" w:ascii="Arial" w:hAnsi="Arial"/>
          <w:color w:val="000000"/>
          <w:spacing w:val="1"/>
        </w:rPr>
        <w:t>dane osoby sporządzającej obmiar.</w:t>
      </w:r>
    </w:p>
    <w:p>
      <w:pPr>
        <w:pStyle w:val="SpecyfikacjaSSTpodstpunkt"/>
        <w:shd w:val="clear" w:color="auto" w:fill="FFFFFF"/>
        <w:tabs>
          <w:tab w:val="left" w:pos="360" w:leader="none"/>
          <w:tab w:val="left" w:pos="708" w:leader="none"/>
        </w:tabs>
        <w:ind w:end="423"/>
        <w:jc w:val="start"/>
        <w:rPr>
          <w:rFonts w:ascii="Arial" w:hAnsi="Arial" w:cs="Arial"/>
        </w:rPr>
      </w:pPr>
      <w:r>
        <w:rPr>
          <w:rFonts w:cs="Arial" w:ascii="Arial" w:hAnsi="Arial"/>
        </w:rPr>
      </w:r>
    </w:p>
    <w:p>
      <w:pPr>
        <w:pStyle w:val="Heading2"/>
        <w:numPr>
          <w:ilvl w:val="1"/>
          <w:numId w:val="13"/>
        </w:numPr>
        <w:ind w:hanging="432" w:start="426" w:end="423"/>
        <w:rPr>
          <w:rFonts w:ascii="Arial" w:hAnsi="Arial" w:cs="Arial"/>
          <w:sz w:val="24"/>
          <w:szCs w:val="24"/>
        </w:rPr>
      </w:pPr>
      <w:bookmarkStart w:id="202" w:name="_Toc215176957"/>
      <w:bookmarkStart w:id="203" w:name="_Toc178397228"/>
      <w:bookmarkStart w:id="204" w:name="_Toc535218243"/>
      <w:bookmarkStart w:id="205" w:name="_Toc178478206"/>
      <w:bookmarkStart w:id="206" w:name="_Toc432063618"/>
      <w:bookmarkEnd w:id="203"/>
      <w:bookmarkEnd w:id="204"/>
      <w:bookmarkEnd w:id="205"/>
      <w:bookmarkEnd w:id="206"/>
      <w:r>
        <w:rPr>
          <w:rFonts w:cs="Arial" w:ascii="Arial" w:hAnsi="Arial"/>
          <w:sz w:val="24"/>
          <w:szCs w:val="24"/>
        </w:rPr>
        <w:t>Dokumenty budowy</w:t>
      </w:r>
      <w:bookmarkEnd w:id="202"/>
    </w:p>
    <w:p>
      <w:pPr>
        <w:pStyle w:val="SpecyfikacjaSSTpodkrelenie"/>
        <w:ind w:start="426" w:end="423"/>
        <w:rPr>
          <w:rFonts w:ascii="Arial" w:hAnsi="Arial" w:cs="Arial"/>
          <w:sz w:val="24"/>
          <w:szCs w:val="24"/>
        </w:rPr>
      </w:pPr>
      <w:r>
        <w:rPr>
          <w:rFonts w:cs="Arial" w:ascii="Arial" w:hAnsi="Arial"/>
          <w:bCs/>
          <w:color w:val="365F91"/>
          <w:sz w:val="24"/>
          <w:szCs w:val="24"/>
        </w:rPr>
        <w:t>Dziennik budowy</w:t>
      </w:r>
    </w:p>
    <w:p>
      <w:pPr>
        <w:pStyle w:val="SpecyfikacjaSSTpodstawowy"/>
        <w:ind w:firstLine="282" w:start="426" w:end="423"/>
        <w:jc w:val="start"/>
        <w:rPr>
          <w:rFonts w:ascii="Arial" w:hAnsi="Arial" w:cs="Arial"/>
        </w:rPr>
      </w:pPr>
      <w:r>
        <w:rPr>
          <w:rFonts w:cs="Arial" w:ascii="Arial" w:hAnsi="Arial"/>
        </w:rPr>
        <w:t xml:space="preserve">Dziennik budowy jest wymaganym dokumentem prawnym obowiązującym Inwestora i Wykonawcę w okresie trwania budowy. Obowiązek prowadzenia dziennika budowy spoczywa na Wykonawcy. </w:t>
      </w:r>
    </w:p>
    <w:p>
      <w:pPr>
        <w:pStyle w:val="SpecyfikacjaSSTpodstawowy"/>
        <w:ind w:start="426" w:end="423"/>
        <w:jc w:val="start"/>
        <w:rPr>
          <w:rFonts w:ascii="Arial" w:hAnsi="Arial" w:cs="Arial"/>
        </w:rPr>
      </w:pPr>
      <w:r>
        <w:rPr>
          <w:rFonts w:cs="Arial" w:ascii="Arial" w:hAnsi="Arial"/>
        </w:rPr>
        <w:t xml:space="preserve">Zapisy w dzienniku budowy będą dokonywane na bieżąco i będą dotyczyć przebiegu robót, stanu bezpieczeństwa ludzi i mienia oraz technicznej i ekonomicznej strony budowy. Każdy zapis w dzienniku budowy będzie opatrzony datą jego dokonania, podpisem osoby, która dokonała zapisu, z podaniem imienia i nazwiska oraz stanowiska służbowego. Zapisy będą czytelne, dokonywane trwałą techniką, w porządku chronologicznym, bezpośrednio jeden po drugim, bez przerw. </w:t>
      </w:r>
    </w:p>
    <w:p>
      <w:pPr>
        <w:pStyle w:val="SpecyfikacjaSSTpodstawowy"/>
        <w:ind w:start="426" w:end="423"/>
        <w:jc w:val="start"/>
        <w:rPr>
          <w:rFonts w:ascii="Arial" w:hAnsi="Arial" w:cs="Arial"/>
        </w:rPr>
      </w:pPr>
      <w:r>
        <w:rPr>
          <w:rFonts w:cs="Arial" w:ascii="Arial" w:hAnsi="Arial"/>
        </w:rPr>
        <w:t>Załączone do dziennika budowy protokoły i inne dokumenty będą oznaczone kolejnym numerem załącznika, opatrzone datą i podpisem Wykonawcy oraz Inspektora Nadzoru.</w:t>
      </w:r>
    </w:p>
    <w:p>
      <w:pPr>
        <w:pStyle w:val="SpecyfikacjaSSTpodstawowy"/>
        <w:ind w:start="426" w:end="423"/>
        <w:jc w:val="start"/>
        <w:rPr>
          <w:rFonts w:ascii="Arial" w:hAnsi="Arial" w:cs="Arial"/>
        </w:rPr>
      </w:pPr>
      <w:r>
        <w:rPr>
          <w:rFonts w:cs="Arial" w:ascii="Arial" w:hAnsi="Arial"/>
        </w:rPr>
        <w:t>Do dziennika budowy należy wpisywać w szczególności: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przyjęcia placu budowy,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przekazania przez Zamawiającego dokumentacji projektowej,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przyjęcia i zakres obowiązków osób funkcyjnych na budowie,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rozpoczęcia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uzgodnienie prze Inspektora PZJ i harmonogramów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terminy rozpoczęcia i zakończenia poszczególnych elementów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wyjaśnienia, uwagi i propozycje Wykonawcy,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przebieg robót, trudności i przeszkody w ich prowadzeniu, okresy i przyczyny przerw w robotach,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uwagi i polecenia Inspektora Nadzoru,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daty wstrzymania robót z podaniem przyczyn ich wstrzymania,</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zgłoszenia i daty odbioru robót zanikających, ulegających zakryciu, częściowych i końcowych odbiorów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stan pogody i temperatury powietrza w okresie wykonywania robót podlegających ograniczeniom lub wymaganiom szczególnym w związku z warunkami klimatycznymi,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zgodność rzeczywistych warunków geotechnicznych z ich opisem w PB i PW,</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dane dotyczące sposobu zabezpieczenia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dane dotyczące czynności geodezyjnych dokonywanych przed i w trakcie wykonywania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dane dotyczące jakości materiałów oraz wyniki przeprowadzonych badań z podaniem autora badań,</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wyniki prób poszczególnych elementów budowli z podaniem kto je prowadził,</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inne istotne informacje o przebiegu robót.</w:t>
      </w:r>
    </w:p>
    <w:p>
      <w:pPr>
        <w:pStyle w:val="SpecyfikacjaSSTpodstawowy"/>
        <w:ind w:start="426" w:end="423"/>
        <w:jc w:val="start"/>
        <w:rPr>
          <w:rFonts w:ascii="Arial" w:hAnsi="Arial" w:cs="Arial"/>
        </w:rPr>
      </w:pPr>
      <w:r>
        <w:rPr>
          <w:rFonts w:cs="Arial" w:ascii="Arial" w:hAnsi="Arial"/>
        </w:rPr>
        <w:t>Propozycje, uwagi i wyjaśnienia Wykonawcy, wpisane do dziennika budowy będą przedstawione Inspektorowi do akceptacji.</w:t>
      </w:r>
    </w:p>
    <w:p>
      <w:pPr>
        <w:pStyle w:val="SpecyfikacjaSSTpodstawowy"/>
        <w:ind w:start="426" w:end="423"/>
        <w:jc w:val="start"/>
        <w:rPr>
          <w:rFonts w:ascii="Arial" w:hAnsi="Arial" w:cs="Arial"/>
        </w:rPr>
      </w:pPr>
      <w:r>
        <w:rPr>
          <w:rFonts w:cs="Arial" w:ascii="Arial" w:hAnsi="Arial"/>
        </w:rPr>
        <w:t>Decyzje Inspektora wpisane do dziennika budowy Wykonawca podpisuje z uzasadnieniem stanowiska ich przyjęcia.</w:t>
      </w:r>
    </w:p>
    <w:p>
      <w:pPr>
        <w:pStyle w:val="SpecyfikacjaSSTpodstawowy"/>
        <w:ind w:start="426" w:end="423"/>
        <w:jc w:val="start"/>
        <w:rPr>
          <w:rFonts w:ascii="Arial" w:hAnsi="Arial" w:cs="Arial"/>
        </w:rPr>
      </w:pPr>
      <w:r>
        <w:rPr>
          <w:rFonts w:cs="Arial" w:ascii="Arial" w:hAnsi="Arial"/>
        </w:rPr>
        <w:t>Wpis projektanta do dziennika budowy obliguje Inspektora i Wykonawcę do ustosunkowania się do jego treści.</w:t>
      </w:r>
    </w:p>
    <w:p>
      <w:pPr>
        <w:pStyle w:val="SpecyfikacjaSSTpodstawowy"/>
        <w:ind w:start="426" w:end="423"/>
        <w:jc w:val="start"/>
        <w:rPr>
          <w:rFonts w:ascii="Arial" w:hAnsi="Arial" w:cs="Arial"/>
        </w:rPr>
      </w:pPr>
      <w:r>
        <w:rPr>
          <w:rFonts w:cs="Arial" w:ascii="Arial" w:hAnsi="Arial"/>
        </w:rPr>
      </w:r>
    </w:p>
    <w:p>
      <w:pPr>
        <w:pStyle w:val="SpecyfikacjaSSTpodstawowy"/>
        <w:ind w:start="426"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Książka obmiaru robót</w:t>
      </w:r>
    </w:p>
    <w:p>
      <w:pPr>
        <w:pStyle w:val="SpecyfikacjaSSTpodstawowy"/>
        <w:ind w:start="426" w:end="423"/>
        <w:jc w:val="start"/>
        <w:rPr>
          <w:rFonts w:ascii="Arial" w:hAnsi="Arial" w:cs="Arial"/>
        </w:rPr>
      </w:pPr>
      <w:r>
        <w:rPr>
          <w:rFonts w:cs="Arial" w:ascii="Arial" w:hAnsi="Arial"/>
        </w:rPr>
        <w:t>Nie jest wymagana, ale jej założenia może zażądać Inspektor Nadzoru w przypadku robót o dużym stopniu skomplikowania. Książka obmiaru robót będzie wtedy jedynie dokumentem kontrolnym. Nie stanowi ona podstawy do zapłaty za wykonane roboty. Podstawą do wystawienia faktury będzie załączony oryginał protokołu odbioru poszczególnych elementów potwierdzony przez Inspektora Nadzoru w oparciu o procentowe zaawansowanie robót.</w:t>
      </w:r>
    </w:p>
    <w:p>
      <w:pPr>
        <w:pStyle w:val="SpecyfikacjaSSTpodstawowy"/>
        <w:ind w:start="426" w:end="423"/>
        <w:jc w:val="start"/>
        <w:rPr>
          <w:rFonts w:ascii="Arial" w:hAnsi="Arial" w:cs="Arial"/>
        </w:rPr>
      </w:pPr>
      <w:r>
        <w:rPr>
          <w:rFonts w:cs="Arial" w:ascii="Arial" w:hAnsi="Arial"/>
        </w:rPr>
        <w:t>Obmiary wykonanych robót prowadzi się sukcesywnie w jednostkach przyjętych w kosztorysie i w SST.</w:t>
      </w:r>
    </w:p>
    <w:p>
      <w:pPr>
        <w:pStyle w:val="SpecyfikacjaSSTpodstawowy"/>
        <w:ind w:start="426" w:end="423"/>
        <w:jc w:val="start"/>
        <w:rPr>
          <w:rFonts w:ascii="Arial" w:hAnsi="Arial" w:cs="Arial"/>
        </w:rPr>
      </w:pPr>
      <w:r>
        <w:rPr>
          <w:rFonts w:cs="Arial" w:ascii="Arial" w:hAnsi="Arial"/>
        </w:rPr>
        <w:t>Księga obmiaru robót zawiera karty obmiaru robót z:</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numerem kolejnym karty,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podstawą wyceny i opisem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ilością przedmiarową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datą obmiaru,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obmiarem przeprowadzonym zgodnie z zasadami podanymi w pkt. 6 niniejszej OST,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ilością robót wykonanych od początku budowy.</w:t>
      </w:r>
    </w:p>
    <w:p>
      <w:pPr>
        <w:pStyle w:val="SpecyfikacjaSSTpodstawowy"/>
        <w:ind w:start="426" w:end="423"/>
        <w:jc w:val="start"/>
        <w:rPr>
          <w:rFonts w:ascii="Arial" w:hAnsi="Arial" w:cs="Arial"/>
        </w:rPr>
      </w:pPr>
      <w:r>
        <w:rPr>
          <w:rFonts w:cs="Arial" w:ascii="Arial" w:hAnsi="Arial"/>
        </w:rPr>
        <w:t>Księga obmiaru robót (jeśli wymagana) musi być przedstawiona Inspektorowi Nadzoru do sprawdzenia po wykonaniu robót, ale przed ich zakryciem.</w:t>
      </w:r>
    </w:p>
    <w:p>
      <w:pPr>
        <w:pStyle w:val="SpecyfikacjaSSTpodkrelenie"/>
        <w:ind w:start="426" w:end="423"/>
        <w:rPr>
          <w:rFonts w:ascii="Arial" w:hAnsi="Arial" w:cs="Arial"/>
          <w:sz w:val="24"/>
          <w:szCs w:val="24"/>
        </w:rPr>
      </w:pPr>
      <w:r>
        <w:rPr>
          <w:rFonts w:cs="Arial" w:ascii="Arial" w:hAnsi="Arial"/>
          <w:sz w:val="24"/>
          <w:szCs w:val="24"/>
        </w:rPr>
        <w:t>Pozostałe dokumenty budowy</w:t>
      </w:r>
    </w:p>
    <w:p>
      <w:pPr>
        <w:pStyle w:val="SpecyfikacjaSSTpodstawowy"/>
        <w:ind w:start="426" w:end="423"/>
        <w:jc w:val="start"/>
        <w:rPr>
          <w:rFonts w:ascii="Arial" w:hAnsi="Arial" w:cs="Arial"/>
        </w:rPr>
      </w:pPr>
      <w:r>
        <w:rPr>
          <w:rFonts w:cs="Arial" w:ascii="Arial" w:hAnsi="Arial"/>
        </w:rPr>
        <w:t>Do dokumentów budowy zalicza się także: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decyzję o pozwoleniu na budowę,</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 przekazania placu budowy,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 – szkic wytyczenia geodezyjnego obiektu w terenie,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inwentaryzacje geodezyjne powykonawcze,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harmonogram budowy,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umowy cywilnoprawne z osobami trzecimi i inne umowy cywilnoprawne,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protokóły odbioru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protokóły z narad i ustaleń,</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dowody przekazania materiałów z demontażu, dowody utylizacji materiałów z demontażu podlegające utylizacji,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korespondencja na budowie.</w:t>
      </w:r>
    </w:p>
    <w:p>
      <w:pPr>
        <w:pStyle w:val="SpecyfikacjaSSTpodstpunkt"/>
        <w:tabs>
          <w:tab w:val="left" w:pos="360" w:leader="none"/>
          <w:tab w:val="left" w:pos="708" w:leader="none"/>
        </w:tabs>
        <w:ind w:end="423"/>
        <w:jc w:val="start"/>
        <w:rPr>
          <w:rFonts w:ascii="Arial" w:hAnsi="Arial" w:cs="Arial"/>
        </w:rPr>
      </w:pPr>
      <w:r>
        <w:rPr>
          <w:rFonts w:cs="Arial" w:ascii="Arial" w:hAnsi="Arial"/>
        </w:rPr>
      </w:r>
    </w:p>
    <w:p>
      <w:pPr>
        <w:pStyle w:val="SpecyfikacjaSSTpodstpunkt"/>
        <w:tabs>
          <w:tab w:val="left" w:pos="360" w:leader="none"/>
          <w:tab w:val="left" w:pos="708" w:leader="none"/>
        </w:tabs>
        <w:ind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Przechowywanie dokumentów budowy</w:t>
      </w:r>
    </w:p>
    <w:p>
      <w:pPr>
        <w:pStyle w:val="SpecyfikacjaSSTpodstawowy"/>
        <w:ind w:firstLine="282" w:start="426" w:end="423"/>
        <w:jc w:val="start"/>
        <w:rPr>
          <w:rFonts w:ascii="Arial" w:hAnsi="Arial" w:cs="Arial"/>
        </w:rPr>
      </w:pPr>
      <w:r>
        <w:rPr>
          <w:rFonts w:cs="Arial" w:ascii="Arial" w:hAnsi="Arial"/>
        </w:rPr>
        <w:t>Dokumenty budowy będą przechowywane na terenie budowy w miejscu odpowiednio zabezpieczonym. Zaginięcie któregokolwiek z dokumentów spowoduje jego natychmiastowe odtworzenie w formie przewidzianej prawem.</w:t>
      </w:r>
    </w:p>
    <w:p>
      <w:pPr>
        <w:pStyle w:val="SpecyfikacjaSSTpodstawowy"/>
        <w:ind w:start="426" w:end="423"/>
        <w:jc w:val="start"/>
        <w:rPr>
          <w:rFonts w:ascii="Arial" w:hAnsi="Arial" w:cs="Arial"/>
        </w:rPr>
      </w:pPr>
      <w:r>
        <w:rPr>
          <w:rFonts w:cs="Arial" w:ascii="Arial" w:hAnsi="Arial"/>
        </w:rPr>
        <w:t>Dokumenty budowy będą zawsze dostępne dla Inspektora Nadzoru i przedstawiane do wglądu na życzenie Inwestora.</w:t>
      </w:r>
    </w:p>
    <w:p>
      <w:pPr>
        <w:pStyle w:val="Heading1"/>
        <w:numPr>
          <w:ilvl w:val="0"/>
          <w:numId w:val="13"/>
        </w:numPr>
        <w:ind w:hanging="360" w:start="426" w:end="423"/>
        <w:rPr>
          <w:rFonts w:ascii="Arial" w:hAnsi="Arial" w:cs="Arial"/>
          <w:sz w:val="24"/>
          <w:szCs w:val="24"/>
        </w:rPr>
      </w:pPr>
      <w:bookmarkStart w:id="207" w:name="_Toc215176958"/>
      <w:bookmarkStart w:id="208" w:name="_Toc535218244"/>
      <w:bookmarkStart w:id="209" w:name="_Hlk500007172"/>
      <w:bookmarkEnd w:id="208"/>
      <w:bookmarkEnd w:id="209"/>
      <w:r>
        <w:rPr>
          <w:rFonts w:cs="Arial" w:ascii="Arial" w:hAnsi="Arial"/>
          <w:sz w:val="24"/>
          <w:szCs w:val="24"/>
        </w:rPr>
        <w:t>ODBIÓR ROBÓT</w:t>
      </w:r>
      <w:bookmarkEnd w:id="207"/>
    </w:p>
    <w:p>
      <w:pPr>
        <w:pStyle w:val="ListParagraph"/>
        <w:keepNext w:val="true"/>
        <w:keepLines/>
        <w:numPr>
          <w:ilvl w:val="0"/>
          <w:numId w:val="15"/>
        </w:numPr>
        <w:spacing w:before="40" w:after="0"/>
        <w:ind w:hanging="360" w:start="426" w:end="423"/>
        <w:contextualSpacing/>
        <w:outlineLvl w:val="1"/>
        <w:rPr>
          <w:rFonts w:eastAsia="" w:eastAsiaTheme="majorEastAsia"/>
          <w:color w:themeColor="accent1" w:themeShade="bf" w:val="365F91"/>
          <w:sz w:val="24"/>
          <w:szCs w:val="24"/>
        </w:rPr>
      </w:pPr>
      <w:r>
        <w:rPr>
          <w:rFonts w:eastAsia="" w:eastAsiaTheme="majorEastAsia"/>
          <w:color w:themeColor="accent1" w:themeShade="bf" w:val="365F91"/>
          <w:sz w:val="24"/>
          <w:szCs w:val="24"/>
        </w:rPr>
      </w:r>
      <w:bookmarkStart w:id="210" w:name="_Toc215176959"/>
      <w:bookmarkStart w:id="211" w:name="_Toc115621721"/>
      <w:bookmarkStart w:id="212" w:name="_Toc51793628"/>
      <w:bookmarkStart w:id="213" w:name="_Toc500062466"/>
      <w:bookmarkStart w:id="214" w:name="_Toc500062357"/>
      <w:bookmarkStart w:id="215" w:name="_Toc500006614"/>
      <w:bookmarkStart w:id="216" w:name="_Toc521263406"/>
      <w:bookmarkStart w:id="217" w:name="_Toc521263645"/>
      <w:bookmarkStart w:id="218" w:name="_Toc521263852"/>
      <w:bookmarkStart w:id="219" w:name="_Toc521263957"/>
      <w:bookmarkStart w:id="220" w:name="_Toc535218245"/>
      <w:bookmarkStart w:id="221" w:name="_Toc215176959"/>
      <w:bookmarkStart w:id="222" w:name="_Toc115621721"/>
      <w:bookmarkStart w:id="223" w:name="_Toc51793628"/>
      <w:bookmarkStart w:id="224" w:name="_Toc500062466"/>
      <w:bookmarkStart w:id="225" w:name="_Toc500062357"/>
      <w:bookmarkStart w:id="226" w:name="_Toc500006614"/>
      <w:bookmarkStart w:id="227" w:name="_Toc521263406"/>
      <w:bookmarkStart w:id="228" w:name="_Toc521263645"/>
      <w:bookmarkStart w:id="229" w:name="_Toc521263852"/>
      <w:bookmarkStart w:id="230" w:name="_Toc521263957"/>
      <w:bookmarkStart w:id="231" w:name="_Toc535218245"/>
      <w:bookmarkEnd w:id="221"/>
      <w:bookmarkEnd w:id="222"/>
      <w:bookmarkEnd w:id="223"/>
      <w:bookmarkEnd w:id="224"/>
      <w:bookmarkEnd w:id="225"/>
      <w:bookmarkEnd w:id="226"/>
      <w:bookmarkEnd w:id="227"/>
      <w:bookmarkEnd w:id="228"/>
      <w:bookmarkEnd w:id="229"/>
      <w:bookmarkEnd w:id="230"/>
      <w:bookmarkEnd w:id="231"/>
    </w:p>
    <w:p>
      <w:pPr>
        <w:pStyle w:val="Heading2"/>
        <w:numPr>
          <w:ilvl w:val="1"/>
          <w:numId w:val="13"/>
        </w:numPr>
        <w:ind w:hanging="432" w:start="426" w:end="423"/>
        <w:rPr>
          <w:rFonts w:ascii="Arial" w:hAnsi="Arial" w:cs="Arial"/>
          <w:sz w:val="24"/>
          <w:szCs w:val="24"/>
        </w:rPr>
      </w:pPr>
      <w:bookmarkStart w:id="232" w:name="_Toc215176960"/>
      <w:bookmarkStart w:id="233" w:name="_Toc535218246"/>
      <w:r>
        <w:rPr>
          <w:rFonts w:cs="Arial" w:ascii="Arial" w:hAnsi="Arial"/>
          <w:sz w:val="24"/>
          <w:szCs w:val="24"/>
        </w:rPr>
        <w:t>Ogólne zasady odbioru robót podano w ST „Wymagania ogólne"</w:t>
      </w:r>
      <w:bookmarkEnd w:id="232"/>
      <w:bookmarkEnd w:id="233"/>
      <w:r>
        <w:rPr>
          <w:rFonts w:cs="Arial" w:ascii="Arial" w:hAnsi="Arial"/>
          <w:sz w:val="24"/>
          <w:szCs w:val="24"/>
        </w:rPr>
        <w:t xml:space="preserve"> </w:t>
      </w:r>
    </w:p>
    <w:p>
      <w:pPr>
        <w:pStyle w:val="Normal"/>
        <w:ind w:start="426" w:end="423"/>
        <w:rPr>
          <w:sz w:val="24"/>
          <w:szCs w:val="24"/>
        </w:rPr>
      </w:pPr>
      <w:r>
        <w:rPr>
          <w:sz w:val="24"/>
          <w:szCs w:val="24"/>
        </w:rPr>
      </w:r>
    </w:p>
    <w:p>
      <w:pPr>
        <w:pStyle w:val="SpecyfikacjaSSTpodstawowy"/>
        <w:ind w:firstLine="282" w:start="426" w:end="423"/>
        <w:jc w:val="start"/>
        <w:rPr>
          <w:rFonts w:ascii="Arial" w:hAnsi="Arial" w:cs="Arial"/>
        </w:rPr>
      </w:pPr>
      <w:r>
        <w:rPr>
          <w:rFonts w:cs="Arial" w:ascii="Arial" w:hAnsi="Arial"/>
        </w:rPr>
        <w:t>Roboty podlegają następującym odbiorom robót, dokonywanym przez Inspektora:</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robót zanikających,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częściowemu, elementów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końcowemu, ostatecznemu,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po upływie rękojmi,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pogwarancyjnemu po upływie okresu gwarancji.</w:t>
      </w:r>
    </w:p>
    <w:p>
      <w:pPr>
        <w:pStyle w:val="Heading2"/>
        <w:numPr>
          <w:ilvl w:val="1"/>
          <w:numId w:val="13"/>
        </w:numPr>
        <w:ind w:hanging="432" w:start="426" w:end="423"/>
        <w:rPr>
          <w:rFonts w:ascii="Arial" w:hAnsi="Arial" w:cs="Arial"/>
          <w:sz w:val="24"/>
          <w:szCs w:val="24"/>
        </w:rPr>
      </w:pPr>
      <w:bookmarkStart w:id="234" w:name="_Toc215176961"/>
      <w:bookmarkStart w:id="235" w:name="_Toc535218247"/>
      <w:bookmarkStart w:id="236" w:name="_Toc178478213"/>
      <w:bookmarkStart w:id="237" w:name="_Toc432063626"/>
      <w:bookmarkEnd w:id="235"/>
      <w:bookmarkEnd w:id="236"/>
      <w:bookmarkEnd w:id="237"/>
      <w:r>
        <w:rPr>
          <w:rFonts w:cs="Arial" w:ascii="Arial" w:hAnsi="Arial"/>
          <w:sz w:val="24"/>
          <w:szCs w:val="24"/>
        </w:rPr>
        <w:t>Odbiór robót zanikających i ulegających zakryciu</w:t>
      </w:r>
      <w:bookmarkEnd w:id="234"/>
    </w:p>
    <w:p>
      <w:pPr>
        <w:pStyle w:val="SpecyfikacjaSSTpodstawowy"/>
        <w:ind w:firstLine="282" w:start="426" w:end="423"/>
        <w:jc w:val="start"/>
        <w:rPr>
          <w:rFonts w:ascii="Arial" w:hAnsi="Arial" w:cs="Arial"/>
        </w:rPr>
      </w:pPr>
      <w:r>
        <w:rPr>
          <w:rFonts w:cs="Arial" w:ascii="Arial" w:hAnsi="Arial"/>
        </w:rPr>
        <w:t>Odbiór robót zanikających i ulegających zakryciu polega na finalnej ocenie ilości i jakości wykonywanych robót, które w dalszym procesie realizacji ulegną zakryciu.</w:t>
      </w:r>
    </w:p>
    <w:p>
      <w:pPr>
        <w:pStyle w:val="SpecyfikacjaSSTpodstawowy"/>
        <w:ind w:start="426" w:end="423"/>
        <w:jc w:val="start"/>
        <w:rPr>
          <w:rFonts w:ascii="Arial" w:hAnsi="Arial" w:cs="Arial"/>
        </w:rPr>
      </w:pPr>
      <w:r>
        <w:rPr>
          <w:rFonts w:cs="Arial" w:ascii="Arial" w:hAnsi="Arial"/>
        </w:rPr>
        <w:t>Odbiór robót zanikających i ulegających zakryciu będzie dokonany w czasie umożliwiającym wykonanie ewentualnych korekt i poprawek bez hamowania ogólnego postępu robót. Odbioru tego dokonuje Inspektor Nadzoru.</w:t>
      </w:r>
    </w:p>
    <w:p>
      <w:pPr>
        <w:pStyle w:val="SpecyfikacjaSSTpodstawowy"/>
        <w:ind w:start="426" w:end="423"/>
        <w:jc w:val="start"/>
        <w:rPr>
          <w:rFonts w:ascii="Arial" w:hAnsi="Arial" w:cs="Arial"/>
        </w:rPr>
      </w:pPr>
      <w:r>
        <w:rPr>
          <w:rFonts w:cs="Arial" w:ascii="Arial" w:hAnsi="Arial"/>
        </w:rPr>
        <w:t>Gotowość danej części robót zgłasza Wykonawca wpisem do dziennika budowy i jednoczesnym powiadomieniem Inspektora Nadzoru. Odbiór przeprowadzony będzie niezwłocznie, nie później jednak, niż w ciągu 3 dni od daty zgłoszenia wpisem do dziennika budowy i powiadomieniem o tym także Inspektora Nadzoru.</w:t>
      </w:r>
    </w:p>
    <w:p>
      <w:pPr>
        <w:pStyle w:val="SpecyfikacjaSSTpodstawowy"/>
        <w:ind w:start="426" w:end="423"/>
        <w:jc w:val="start"/>
        <w:rPr>
          <w:rFonts w:ascii="Arial" w:hAnsi="Arial" w:cs="Arial"/>
        </w:rPr>
      </w:pPr>
      <w:r>
        <w:rPr>
          <w:rFonts w:cs="Arial" w:ascii="Arial" w:hAnsi="Arial"/>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pPr>
        <w:pStyle w:val="Heading2"/>
        <w:numPr>
          <w:ilvl w:val="1"/>
          <w:numId w:val="13"/>
        </w:numPr>
        <w:ind w:hanging="432" w:start="426" w:end="423"/>
        <w:rPr>
          <w:rFonts w:ascii="Arial" w:hAnsi="Arial" w:cs="Arial"/>
          <w:sz w:val="24"/>
          <w:szCs w:val="24"/>
        </w:rPr>
      </w:pPr>
      <w:bookmarkStart w:id="238" w:name="_Toc215176962"/>
      <w:bookmarkStart w:id="239" w:name="_Toc535218248"/>
      <w:bookmarkStart w:id="240" w:name="_Hlk500007214"/>
      <w:bookmarkEnd w:id="239"/>
      <w:bookmarkEnd w:id="240"/>
      <w:r>
        <w:rPr>
          <w:rFonts w:cs="Arial" w:ascii="Arial" w:hAnsi="Arial"/>
          <w:sz w:val="24"/>
          <w:szCs w:val="24"/>
        </w:rPr>
        <w:t>Warunki odbioru instalacji i urządzeń zasilających</w:t>
      </w:r>
      <w:bookmarkEnd w:id="238"/>
    </w:p>
    <w:p>
      <w:pPr>
        <w:pStyle w:val="Heading3"/>
        <w:numPr>
          <w:ilvl w:val="2"/>
          <w:numId w:val="13"/>
        </w:numPr>
        <w:ind w:hanging="504" w:start="426" w:end="423"/>
        <w:rPr>
          <w:rFonts w:ascii="Arial" w:hAnsi="Arial" w:cs="Arial"/>
        </w:rPr>
      </w:pPr>
      <w:bookmarkStart w:id="241" w:name="_Toc215176963"/>
      <w:bookmarkStart w:id="242" w:name="_Toc535218249"/>
      <w:bookmarkStart w:id="243" w:name="_Toc500062470"/>
      <w:bookmarkStart w:id="244" w:name="_Toc500062361"/>
      <w:bookmarkStart w:id="245" w:name="_Toc500006618"/>
      <w:bookmarkStart w:id="246" w:name="_Toc498685995"/>
      <w:bookmarkStart w:id="247" w:name="_Toc498678686"/>
      <w:bookmarkStart w:id="248" w:name="_Toc521263410"/>
      <w:bookmarkEnd w:id="242"/>
      <w:bookmarkEnd w:id="243"/>
      <w:bookmarkEnd w:id="244"/>
      <w:bookmarkEnd w:id="245"/>
      <w:bookmarkEnd w:id="246"/>
      <w:bookmarkEnd w:id="247"/>
      <w:bookmarkEnd w:id="248"/>
      <w:r>
        <w:rPr>
          <w:rFonts w:cs="Arial" w:ascii="Arial" w:hAnsi="Arial"/>
        </w:rPr>
        <w:t>Odbiór międzyoperacyjny</w:t>
      </w:r>
      <w:bookmarkEnd w:id="241"/>
    </w:p>
    <w:p>
      <w:pPr>
        <w:pStyle w:val="Normal"/>
        <w:shd w:val="clear" w:color="auto" w:fill="FFFFFF"/>
        <w:ind w:firstLine="282" w:start="426" w:end="423"/>
        <w:rPr>
          <w:sz w:val="24"/>
          <w:szCs w:val="24"/>
        </w:rPr>
      </w:pPr>
      <w:r>
        <w:rPr>
          <w:color w:val="000000"/>
          <w:spacing w:val="2"/>
          <w:sz w:val="24"/>
          <w:szCs w:val="24"/>
        </w:rPr>
        <w:t>Odbiór międzyoperacyjny przeprowadzany jest po zakończeniu danego etapu robót mają</w:t>
      </w:r>
      <w:r>
        <w:rPr>
          <w:color w:val="000000"/>
          <w:sz w:val="24"/>
          <w:szCs w:val="24"/>
        </w:rPr>
        <w:t>cych wpływ na wykonanie dalszych prac.</w:t>
      </w:r>
    </w:p>
    <w:p>
      <w:pPr>
        <w:pStyle w:val="Normal"/>
        <w:shd w:val="clear" w:color="auto" w:fill="FFFFFF"/>
        <w:ind w:start="426" w:end="423"/>
        <w:rPr>
          <w:sz w:val="24"/>
          <w:szCs w:val="24"/>
        </w:rPr>
      </w:pPr>
      <w:r>
        <w:rPr>
          <w:color w:val="000000"/>
          <w:sz w:val="24"/>
          <w:szCs w:val="24"/>
        </w:rPr>
        <w:t>Odbiorowi takiemu mogą podlegać m.in.:</w:t>
      </w:r>
    </w:p>
    <w:p>
      <w:pPr>
        <w:pStyle w:val="Normal"/>
        <w:numPr>
          <w:ilvl w:val="0"/>
          <w:numId w:val="3"/>
        </w:numPr>
        <w:shd w:val="clear" w:color="auto" w:fill="FFFFFF"/>
        <w:ind w:hanging="292" w:start="426" w:end="423"/>
        <w:rPr>
          <w:sz w:val="24"/>
          <w:szCs w:val="24"/>
        </w:rPr>
      </w:pPr>
      <w:r>
        <w:rPr>
          <w:color w:val="000000"/>
          <w:sz w:val="24"/>
          <w:szCs w:val="24"/>
        </w:rPr>
        <w:t>przygotowanie podłoża do montażu kabli i przewodów, łączników, gniazd, opraw oświetleniowych, urządzeń i odbiorników energii elektrycznej oraz innego osprzętu,</w:t>
      </w:r>
    </w:p>
    <w:p>
      <w:pPr>
        <w:pStyle w:val="Normal"/>
        <w:numPr>
          <w:ilvl w:val="0"/>
          <w:numId w:val="3"/>
        </w:numPr>
        <w:shd w:val="clear" w:color="auto" w:fill="FFFFFF"/>
        <w:ind w:hanging="292" w:start="426" w:end="423"/>
        <w:rPr>
          <w:sz w:val="24"/>
          <w:szCs w:val="24"/>
        </w:rPr>
      </w:pPr>
      <w:r>
        <w:rPr>
          <w:color w:val="000000"/>
          <w:spacing w:val="4"/>
          <w:sz w:val="24"/>
          <w:szCs w:val="24"/>
        </w:rPr>
        <w:t xml:space="preserve">instalacja, której pełne wykonanie uwarunkowane jest wykonaniem robót przez inne </w:t>
      </w:r>
      <w:r>
        <w:rPr>
          <w:color w:val="000000"/>
          <w:spacing w:val="3"/>
          <w:sz w:val="24"/>
          <w:szCs w:val="24"/>
        </w:rPr>
        <w:t xml:space="preserve">branże lub odwrotnie, gdy prace innych branż wymagają zakończenia robót instalacji </w:t>
      </w:r>
      <w:r>
        <w:rPr>
          <w:color w:val="000000"/>
          <w:sz w:val="24"/>
          <w:szCs w:val="24"/>
        </w:rPr>
        <w:t>elektrycznej np. zasilanie pomp.</w:t>
      </w:r>
    </w:p>
    <w:p>
      <w:pPr>
        <w:pStyle w:val="Heading3"/>
        <w:numPr>
          <w:ilvl w:val="2"/>
          <w:numId w:val="13"/>
        </w:numPr>
        <w:ind w:hanging="504" w:start="426" w:end="423"/>
        <w:rPr>
          <w:rFonts w:ascii="Arial" w:hAnsi="Arial" w:cs="Arial"/>
        </w:rPr>
      </w:pPr>
      <w:bookmarkStart w:id="249" w:name="_Toc215176964"/>
      <w:bookmarkStart w:id="250" w:name="_Toc535218250"/>
      <w:bookmarkEnd w:id="250"/>
      <w:r>
        <w:rPr>
          <w:rFonts w:cs="Arial" w:ascii="Arial" w:hAnsi="Arial"/>
        </w:rPr>
        <w:t>Odbiór częściowy</w:t>
      </w:r>
      <w:bookmarkEnd w:id="249"/>
    </w:p>
    <w:p>
      <w:pPr>
        <w:pStyle w:val="Normal"/>
        <w:shd w:val="clear" w:color="auto" w:fill="FFFFFF"/>
        <w:ind w:firstLine="282" w:start="426" w:end="423"/>
        <w:rPr>
          <w:sz w:val="24"/>
          <w:szCs w:val="24"/>
        </w:rPr>
      </w:pPr>
      <w:r>
        <w:rPr>
          <w:color w:val="000000"/>
          <w:spacing w:val="-1"/>
          <w:sz w:val="24"/>
          <w:szCs w:val="24"/>
        </w:rPr>
        <w:t xml:space="preserve">Należy przeprowadzić badanie pomontażowe częściowe robót zanikających oraz elementów </w:t>
      </w:r>
      <w:r>
        <w:rPr>
          <w:color w:val="000000"/>
          <w:sz w:val="24"/>
          <w:szCs w:val="24"/>
        </w:rPr>
        <w:t>urządzeń, które ulegają zakryciu (np. wszelkie roboty zanikające), uniemożliwiając ocenę prawidłowości ich wykonania po całkowitym ukończeniu prac.</w:t>
      </w:r>
    </w:p>
    <w:p>
      <w:pPr>
        <w:pStyle w:val="Normal"/>
        <w:shd w:val="clear" w:color="auto" w:fill="FFFFFF"/>
        <w:ind w:start="426" w:end="423"/>
        <w:rPr>
          <w:sz w:val="24"/>
          <w:szCs w:val="24"/>
        </w:rPr>
      </w:pPr>
      <w:r>
        <w:rPr>
          <w:color w:val="000000"/>
          <w:sz w:val="24"/>
          <w:szCs w:val="24"/>
        </w:rPr>
        <w:t>Podczas odbioru należy sprawdzić prawidłowość montażu oraz zgodność z obowiązującymi przepisami i projektem:</w:t>
      </w:r>
    </w:p>
    <w:p>
      <w:pPr>
        <w:pStyle w:val="Normal"/>
        <w:numPr>
          <w:ilvl w:val="0"/>
          <w:numId w:val="9"/>
        </w:numPr>
        <w:shd w:val="clear" w:color="auto" w:fill="FFFFFF"/>
        <w:ind w:hanging="360" w:start="426" w:end="423"/>
        <w:rPr>
          <w:sz w:val="24"/>
          <w:szCs w:val="24"/>
        </w:rPr>
      </w:pPr>
      <w:r>
        <w:rPr>
          <w:color w:val="000000"/>
          <w:sz w:val="24"/>
          <w:szCs w:val="24"/>
        </w:rPr>
        <w:t>wydzielonych instalacji wtynkowych i podtynkowych,</w:t>
      </w:r>
    </w:p>
    <w:p>
      <w:pPr>
        <w:pStyle w:val="Heading3"/>
        <w:numPr>
          <w:ilvl w:val="2"/>
          <w:numId w:val="13"/>
        </w:numPr>
        <w:ind w:hanging="504" w:start="426" w:end="423"/>
        <w:rPr>
          <w:rFonts w:ascii="Arial" w:hAnsi="Arial" w:cs="Arial"/>
        </w:rPr>
      </w:pPr>
      <w:bookmarkStart w:id="251" w:name="_Toc215176965"/>
      <w:bookmarkStart w:id="252" w:name="_Toc535218251"/>
      <w:bookmarkEnd w:id="252"/>
      <w:r>
        <w:rPr>
          <w:rFonts w:cs="Arial" w:ascii="Arial" w:hAnsi="Arial"/>
        </w:rPr>
        <w:t>Odbiór końcowy</w:t>
      </w:r>
      <w:bookmarkEnd w:id="251"/>
    </w:p>
    <w:p>
      <w:pPr>
        <w:pStyle w:val="Normal"/>
        <w:shd w:val="clear" w:color="auto" w:fill="FFFFFF"/>
        <w:ind w:firstLine="282" w:start="426" w:end="423"/>
        <w:rPr>
          <w:sz w:val="24"/>
          <w:szCs w:val="24"/>
        </w:rPr>
      </w:pPr>
      <w:r>
        <w:rPr>
          <w:color w:val="000000"/>
          <w:spacing w:val="-1"/>
          <w:sz w:val="24"/>
          <w:szCs w:val="24"/>
        </w:rPr>
        <w:t>Badania pomontażowe jako techniczne sprawdzenie jakości wykonanych robót należy prze</w:t>
      </w:r>
      <w:r>
        <w:rPr>
          <w:color w:val="000000"/>
          <w:spacing w:val="1"/>
          <w:sz w:val="24"/>
          <w:szCs w:val="24"/>
        </w:rPr>
        <w:t>prowadzić po zakończeniu robót elektrycznych przed przekazaniem użytkownikowi urzą</w:t>
      </w:r>
      <w:r>
        <w:rPr>
          <w:color w:val="000000"/>
          <w:spacing w:val="-1"/>
          <w:sz w:val="24"/>
          <w:szCs w:val="24"/>
        </w:rPr>
        <w:t>dzeń zasilających.</w:t>
      </w:r>
    </w:p>
    <w:p>
      <w:pPr>
        <w:pStyle w:val="Normal"/>
        <w:shd w:val="clear" w:color="auto" w:fill="FFFFFF"/>
        <w:ind w:start="426" w:end="423"/>
        <w:rPr>
          <w:sz w:val="24"/>
          <w:szCs w:val="24"/>
        </w:rPr>
      </w:pPr>
      <w:r>
        <w:rPr>
          <w:color w:val="000000"/>
          <w:sz w:val="24"/>
          <w:szCs w:val="24"/>
        </w:rPr>
        <w:t>Zakres badań obejmuje sprawdzenie:</w:t>
      </w:r>
    </w:p>
    <w:p>
      <w:pPr>
        <w:pStyle w:val="Normal"/>
        <w:numPr>
          <w:ilvl w:val="0"/>
          <w:numId w:val="4"/>
        </w:numPr>
        <w:shd w:val="clear" w:color="auto" w:fill="FFFFFF"/>
        <w:ind w:start="426" w:end="423"/>
        <w:rPr>
          <w:sz w:val="24"/>
          <w:szCs w:val="24"/>
        </w:rPr>
      </w:pPr>
      <w:r>
        <w:rPr>
          <w:color w:val="000000"/>
          <w:sz w:val="24"/>
          <w:szCs w:val="24"/>
        </w:rPr>
        <w:t>dla napięć do 1 kV pomiar rezystancji izolacji instalacji,</w:t>
      </w:r>
    </w:p>
    <w:p>
      <w:pPr>
        <w:pStyle w:val="Normal"/>
        <w:numPr>
          <w:ilvl w:val="0"/>
          <w:numId w:val="4"/>
        </w:numPr>
        <w:shd w:val="clear" w:color="auto" w:fill="FFFFFF"/>
        <w:ind w:hanging="288" w:start="426" w:end="423"/>
        <w:rPr>
          <w:sz w:val="24"/>
          <w:szCs w:val="24"/>
        </w:rPr>
      </w:pPr>
      <w:r>
        <w:rPr>
          <w:color w:val="000000"/>
          <w:sz w:val="24"/>
          <w:szCs w:val="24"/>
        </w:rPr>
        <w:t>dla napięć powyżej 1 kV pomiar rezystancji izolacji instalacji oraz sprawdzenie oznaczenia kabla, ciągłości żył i zgodności faz, próba napięciowa kabla. Badania napięciem probierczym wykonuje się tylko jeden raz.</w:t>
      </w:r>
    </w:p>
    <w:p>
      <w:pPr>
        <w:pStyle w:val="Normal"/>
        <w:shd w:val="clear" w:color="auto" w:fill="FFFFFF"/>
        <w:ind w:firstLine="281" w:start="426" w:end="423"/>
        <w:rPr>
          <w:sz w:val="24"/>
          <w:szCs w:val="24"/>
        </w:rPr>
      </w:pPr>
      <w:r>
        <w:rPr>
          <w:color w:val="000000"/>
          <w:spacing w:val="3"/>
          <w:sz w:val="24"/>
          <w:szCs w:val="24"/>
        </w:rPr>
        <w:t xml:space="preserve">Parametry badań oraz sposób przeprowadzenia badań są określone w normach </w:t>
      </w:r>
      <w:r>
        <w:rPr>
          <w:color w:val="000000"/>
          <w:sz w:val="24"/>
          <w:szCs w:val="24"/>
        </w:rPr>
        <w:t>PN-IEC 60364-6-61:2000 i PN-E-04700:1998/Az1:2000.</w:t>
      </w:r>
      <w:r>
        <w:rPr>
          <w:color w:val="000000"/>
          <w:spacing w:val="-1"/>
          <w:sz w:val="24"/>
          <w:szCs w:val="24"/>
        </w:rPr>
        <w:t xml:space="preserve"> -lub norma równorzędna</w:t>
      </w:r>
    </w:p>
    <w:p>
      <w:pPr>
        <w:pStyle w:val="Normal"/>
        <w:shd w:val="clear" w:color="auto" w:fill="FFFFFF"/>
        <w:ind w:start="426" w:end="423"/>
        <w:rPr>
          <w:sz w:val="24"/>
          <w:szCs w:val="24"/>
        </w:rPr>
      </w:pPr>
      <w:r>
        <w:rPr>
          <w:color w:val="000000"/>
          <w:sz w:val="24"/>
          <w:szCs w:val="24"/>
        </w:rPr>
        <w:t>Wyniki badań trzeba zamieścić w protokole odbioru końcowego.</w:t>
      </w:r>
    </w:p>
    <w:p>
      <w:pPr>
        <w:pStyle w:val="Normal"/>
        <w:tabs>
          <w:tab w:val="clear" w:pos="708"/>
          <w:tab w:val="left" w:pos="284" w:leader="none"/>
        </w:tabs>
        <w:rPr>
          <w:sz w:val="24"/>
          <w:szCs w:val="24"/>
        </w:rPr>
      </w:pPr>
      <w:r>
        <w:rPr>
          <w:rFonts w:eastAsia="" w:eastAsiaTheme="majorEastAsia"/>
          <w:color w:themeColor="accent1" w:themeShade="7f" w:val="243F60"/>
          <w:sz w:val="24"/>
          <w:szCs w:val="24"/>
        </w:rPr>
        <w:t xml:space="preserve">6.3.3.1 Pomiar obwodów ochrony przeciwporażeniowej oraz sprawdzenia  działania </w:t>
      </w:r>
    </w:p>
    <w:p>
      <w:pPr>
        <w:pStyle w:val="Normal"/>
        <w:ind w:firstLine="282" w:start="426"/>
        <w:rPr>
          <w:sz w:val="24"/>
          <w:szCs w:val="24"/>
        </w:rPr>
      </w:pPr>
      <w:r>
        <w:rPr>
          <w:sz w:val="24"/>
          <w:szCs w:val="24"/>
        </w:rPr>
        <w:t xml:space="preserve">Po wykonaniu instalacji i urządzeń ochrony przeciwporaż eniowej powinna być przeprowadzona próba montażowa , tj.: </w:t>
      </w:r>
    </w:p>
    <w:p>
      <w:pPr>
        <w:pStyle w:val="Normal"/>
        <w:ind w:start="426"/>
        <w:rPr>
          <w:sz w:val="24"/>
          <w:szCs w:val="24"/>
        </w:rPr>
      </w:pPr>
      <w:r>
        <w:rPr>
          <w:sz w:val="24"/>
          <w:szCs w:val="24"/>
        </w:rPr>
        <w:t>•</w:t>
      </w:r>
      <w:r>
        <w:rPr>
          <w:sz w:val="24"/>
          <w:szCs w:val="24"/>
        </w:rPr>
        <w:t xml:space="preserve">oględziny wykonanej instalacji dodatkowej ochrony przeciwporażeniowej wraz z urządzeniami i aparatami wchodzącymi w jej skład, </w:t>
      </w:r>
    </w:p>
    <w:p>
      <w:pPr>
        <w:pStyle w:val="Normal"/>
        <w:ind w:start="426"/>
        <w:rPr>
          <w:sz w:val="24"/>
          <w:szCs w:val="24"/>
        </w:rPr>
      </w:pPr>
      <w:r>
        <w:rPr>
          <w:sz w:val="24"/>
          <w:szCs w:val="24"/>
        </w:rPr>
        <w:t>•</w:t>
      </w:r>
      <w:r>
        <w:rPr>
          <w:sz w:val="24"/>
          <w:szCs w:val="24"/>
        </w:rPr>
        <w:t xml:space="preserve">pomiary impedancji pętli zwarciowych w instalacji dodatkowej ochrony przeciwporażeniowej – w przypadku zerowania lub uziemienia, (W sieciach z systemem uziemień można dokonać pomiaru rezystancji styków połączenia urządzeń z przewodami uziemiającymi i rezystancji  przewodów uziemiających) </w:t>
      </w:r>
    </w:p>
    <w:p>
      <w:pPr>
        <w:pStyle w:val="Normal"/>
        <w:ind w:start="426"/>
        <w:rPr>
          <w:sz w:val="24"/>
          <w:szCs w:val="24"/>
        </w:rPr>
      </w:pPr>
      <w:r>
        <w:rPr>
          <w:sz w:val="24"/>
          <w:szCs w:val="24"/>
        </w:rPr>
        <w:t>•</w:t>
      </w:r>
      <w:r>
        <w:rPr>
          <w:sz w:val="24"/>
          <w:szCs w:val="24"/>
        </w:rPr>
        <w:t xml:space="preserve">pomiary rezystancji uziemienia, </w:t>
      </w:r>
    </w:p>
    <w:p>
      <w:pPr>
        <w:pStyle w:val="Normal"/>
        <w:ind w:start="426"/>
        <w:rPr>
          <w:sz w:val="24"/>
          <w:szCs w:val="24"/>
        </w:rPr>
      </w:pPr>
      <w:r>
        <w:rPr>
          <w:sz w:val="24"/>
          <w:szCs w:val="24"/>
        </w:rPr>
        <w:t>•</w:t>
      </w:r>
      <w:r>
        <w:rPr>
          <w:sz w:val="24"/>
          <w:szCs w:val="24"/>
        </w:rPr>
        <w:t xml:space="preserve">pomiary napięć dotykowych i krokowych rażenia w instalacji uziemień ochronnych urządzeń o napięciu powyżej 1 kV. </w:t>
      </w:r>
    </w:p>
    <w:p>
      <w:pPr>
        <w:pStyle w:val="Normal"/>
        <w:ind w:start="426"/>
        <w:rPr>
          <w:sz w:val="24"/>
          <w:szCs w:val="24"/>
        </w:rPr>
      </w:pPr>
      <w:r>
        <w:rPr>
          <w:sz w:val="24"/>
          <w:szCs w:val="24"/>
        </w:rPr>
        <w:t xml:space="preserve">UWAGA </w:t>
      </w:r>
    </w:p>
    <w:p>
      <w:pPr>
        <w:pStyle w:val="Normal"/>
        <w:ind w:start="426"/>
        <w:rPr>
          <w:sz w:val="24"/>
          <w:szCs w:val="24"/>
        </w:rPr>
      </w:pPr>
      <w:r>
        <w:rPr>
          <w:sz w:val="24"/>
          <w:szCs w:val="24"/>
        </w:rPr>
        <w:t xml:space="preserve">W tablicy przez pomiar rezystancji izolacji pomiędzy przewodami roboczymi a ziemią przewody ochronne PE należy traktować jako ziemię a przewód N jako przewód roboczy. </w:t>
      </w:r>
    </w:p>
    <w:p>
      <w:pPr>
        <w:pStyle w:val="Normal"/>
        <w:ind w:start="426"/>
        <w:rPr>
          <w:sz w:val="24"/>
          <w:szCs w:val="24"/>
        </w:rPr>
      </w:pPr>
      <w:r>
        <w:rPr>
          <w:sz w:val="24"/>
          <w:szCs w:val="24"/>
        </w:rPr>
        <w:t xml:space="preserve">Próba działania wyłącznika różnicowoprądowego testerem instalacji jest jednocześnie próba ciągłości przewodów ochronnych. </w:t>
      </w:r>
    </w:p>
    <w:p>
      <w:pPr>
        <w:pStyle w:val="Normal"/>
        <w:ind w:start="426"/>
        <w:rPr>
          <w:sz w:val="24"/>
          <w:szCs w:val="24"/>
        </w:rPr>
      </w:pPr>
      <w:r>
        <w:rPr>
          <w:sz w:val="24"/>
          <w:szCs w:val="24"/>
        </w:rPr>
        <w:t>Na podstawie oględzin instalacji dodatkowej ochrony przeciwporażeniowej należy sprawdzić, czy została ona wykonana zgodnie z dokumentacja techniczną.  Pomiary impedancji pętli zwarciowych należy przeprowadzić z zachowaniem przepisów bezpieczeństwa dla wszystkich zerowanych urządzeń lub uziemień</w:t>
      </w:r>
    </w:p>
    <w:p>
      <w:pPr>
        <w:pStyle w:val="Normal"/>
        <w:ind w:start="426"/>
        <w:rPr>
          <w:sz w:val="24"/>
          <w:szCs w:val="24"/>
        </w:rPr>
      </w:pPr>
      <w:r>
        <w:rPr>
          <w:sz w:val="24"/>
          <w:szCs w:val="24"/>
        </w:rPr>
        <w:t xml:space="preserve">. Protokół pomiaru skuteczności ochrony przed porażeniem powinien zawierać dokładne określenie badanego odbiornika, wymaganą krotność prądu zabezpieczenia, zmierzony prąd zwarciowy, zmierzoną impedancję pętli zwarciowej oraz wnioski. </w:t>
      </w:r>
    </w:p>
    <w:p>
      <w:pPr>
        <w:pStyle w:val="Normal"/>
        <w:shd w:val="clear" w:color="auto" w:fill="FFFFFF"/>
        <w:ind w:start="426" w:end="423"/>
        <w:rPr>
          <w:sz w:val="24"/>
          <w:szCs w:val="24"/>
        </w:rPr>
      </w:pPr>
      <w:r>
        <w:rPr>
          <w:color w:val="000000"/>
          <w:sz w:val="24"/>
          <w:szCs w:val="24"/>
        </w:rPr>
        <w:t xml:space="preserve">Równocześnie w protokóle należy uwidocznić stosowaną metodę pomiarową, typ i numer aparatu pomiarowego. </w:t>
      </w:r>
    </w:p>
    <w:p>
      <w:pPr>
        <w:pStyle w:val="Heading3"/>
        <w:numPr>
          <w:ilvl w:val="2"/>
          <w:numId w:val="13"/>
        </w:numPr>
        <w:ind w:hanging="504" w:start="426" w:end="423"/>
        <w:rPr>
          <w:rFonts w:ascii="Arial" w:hAnsi="Arial" w:cs="Arial"/>
        </w:rPr>
      </w:pPr>
      <w:bookmarkStart w:id="253" w:name="_Toc215176966"/>
      <w:bookmarkStart w:id="254" w:name="_Toc535218252"/>
      <w:bookmarkStart w:id="255" w:name="_Toc178478216"/>
      <w:bookmarkStart w:id="256" w:name="_Toc432063629"/>
      <w:bookmarkEnd w:id="254"/>
      <w:bookmarkEnd w:id="255"/>
      <w:bookmarkEnd w:id="256"/>
      <w:r>
        <w:rPr>
          <w:rFonts w:cs="Arial" w:ascii="Arial" w:hAnsi="Arial"/>
        </w:rPr>
        <w:t>Odbiór pogwarancyjny</w:t>
      </w:r>
      <w:bookmarkEnd w:id="253"/>
    </w:p>
    <w:p>
      <w:pPr>
        <w:pStyle w:val="-AKAPIT"/>
        <w:spacing w:lineRule="auto" w:line="240" w:before="0" w:after="0"/>
        <w:ind w:start="426" w:end="423"/>
        <w:jc w:val="start"/>
        <w:rPr>
          <w:rFonts w:ascii="Arial" w:hAnsi="Arial" w:cs="Arial"/>
          <w:sz w:val="24"/>
          <w:szCs w:val="24"/>
        </w:rPr>
      </w:pPr>
      <w:r>
        <w:rPr>
          <w:rFonts w:cs="Arial" w:ascii="Arial" w:hAnsi="Arial"/>
          <w:i w:val="false"/>
          <w:sz w:val="24"/>
          <w:szCs w:val="24"/>
        </w:rPr>
        <w:tab/>
        <w:t>Odbiór ostateczny (pogwarancyjny) polega na ocenie zachowania wymaganej jakości elementów robót w okresie gwarancyjnym oraz prac związanych z usuwaniem wad ujawnionych w tym okresie.</w:t>
      </w:r>
    </w:p>
    <w:p>
      <w:pPr>
        <w:pStyle w:val="Heading3"/>
        <w:numPr>
          <w:ilvl w:val="2"/>
          <w:numId w:val="13"/>
        </w:numPr>
        <w:ind w:hanging="504" w:start="426" w:end="423"/>
        <w:rPr>
          <w:rFonts w:ascii="Arial" w:hAnsi="Arial" w:cs="Arial"/>
        </w:rPr>
      </w:pPr>
      <w:bookmarkStart w:id="257" w:name="_Toc215176967"/>
      <w:bookmarkStart w:id="258" w:name="_Toc535218253"/>
      <w:bookmarkStart w:id="259" w:name="_Toc178478217"/>
      <w:bookmarkStart w:id="260" w:name="_Toc432063630"/>
      <w:bookmarkEnd w:id="258"/>
      <w:bookmarkEnd w:id="259"/>
      <w:bookmarkEnd w:id="260"/>
      <w:r>
        <w:rPr>
          <w:rFonts w:cs="Arial" w:ascii="Arial" w:hAnsi="Arial"/>
        </w:rPr>
        <w:t>Dokumenty odbioru ostatecznego</w:t>
      </w:r>
      <w:bookmarkEnd w:id="257"/>
    </w:p>
    <w:p>
      <w:pPr>
        <w:pStyle w:val="SpecyfikacjaSSTpodstawowy"/>
        <w:ind w:firstLine="282" w:start="426" w:end="423"/>
        <w:jc w:val="start"/>
        <w:rPr>
          <w:rFonts w:ascii="Arial" w:hAnsi="Arial" w:cs="Arial"/>
        </w:rPr>
      </w:pPr>
      <w:r>
        <w:rPr>
          <w:rFonts w:cs="Arial" w:ascii="Arial" w:hAnsi="Arial"/>
        </w:rPr>
        <w:t>Podstawowym dokumentem do dokonania odbioru ostatecznego robót jest protokół odbioru ostatecznego sporządzony wg wzoru ustalonego przez Inwestora.</w:t>
      </w:r>
    </w:p>
    <w:p>
      <w:pPr>
        <w:pStyle w:val="SpecyfikacjaSSTpodstawowy"/>
        <w:ind w:start="426" w:end="423"/>
        <w:jc w:val="start"/>
        <w:rPr>
          <w:rFonts w:ascii="Arial" w:hAnsi="Arial" w:cs="Arial"/>
        </w:rPr>
      </w:pPr>
      <w:r>
        <w:rPr>
          <w:rFonts w:cs="Arial" w:ascii="Arial" w:hAnsi="Arial"/>
        </w:rPr>
        <w:t>Do odbioru ostatecznego Wykonawca jest zobowiązany przygotować operat kolaudacyjny zawierający: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Dokumentację powykonawczą, tj. dokumentację budowy z naniesionymi zmianami dokonanymi w toku wykonania robót oraz geodezyjnymi pomiarami powykonawczymi,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Szczegółowe specyfikacje techniczne (podstawowe z dokumentów umowy i ew. uzupełniające lub zamienne),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Protokóły odbioru robót ulegających zakryciu i zanikających,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Protokoły odbiorów częściowych,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Recepty i ustalenia technologiczne,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Dziennik budowy – oryginał i kopię,</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Książki obmiarów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Oświadczenia osób funkcyjnych na budowie wymagane Prawem Budowlanym,</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Protokóły prób, badań i sprawdzeń,</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Instrukcje obsługi, eksploatacji, konserwacji wbudowanych urządzeń, zaleceń eksploatacyjnych,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Wykaz przekazywanych kluczy,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Wyniki pomiarów kontrolnych oraz badań i oznaczeń laboratoryjnych, zgodne z SST i programem zapewnienia jakości (PZJ),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Deklaracje zgodności lub certyfikaty zgodności wbudowanych materiałów, certyfikaty na znak bezpieczeństwa zgodnie z SST i programem zabezpieczenia jakości (PZJ),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Sprawozdania techniczne z prób ruchowych,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Rysunki (dokumentacje) na wykonanie robót towarzyszących (np. na przełożenie linii telefonicznej, energetycznej, gazowej, oświetlenia itp.) oraz protokoły odbioru i przekazania tych robót właścicielom urządzeń,</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Geodezyjną inwentaryzację powykonawczą robót i sieci uzbrojenia terenu,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Kopię mapy zasadniczej powstałej w wyniku geodezyjnej inwentaryzacji powykonawczej.</w:t>
      </w:r>
    </w:p>
    <w:p>
      <w:pPr>
        <w:pStyle w:val="SpecyfikacjaSSTpodstawowy"/>
        <w:ind w:start="426" w:end="423"/>
        <w:jc w:val="start"/>
        <w:rPr>
          <w:rFonts w:ascii="Arial" w:hAnsi="Arial" w:cs="Arial"/>
        </w:rPr>
      </w:pPr>
      <w:r>
        <w:rPr>
          <w:rFonts w:cs="Arial" w:ascii="Arial" w:hAnsi="Arial"/>
        </w:rPr>
        <w:t>W przypadku, gdy zdaniem komisji, roboty pod względem przygotowania dokumentacyjnego nie będą gotowe do odbioru ostatecznego, komisja w porozumieniu z Wykonawcą wyznaczy ponowny termin tego odbioru.</w:t>
      </w:r>
    </w:p>
    <w:p>
      <w:pPr>
        <w:pStyle w:val="SpecyfikacjaSSTpodstawowy"/>
        <w:ind w:start="426" w:end="423"/>
        <w:jc w:val="start"/>
        <w:rPr>
          <w:rFonts w:ascii="Arial" w:hAnsi="Arial" w:cs="Arial"/>
        </w:rPr>
      </w:pPr>
      <w:r>
        <w:rPr>
          <w:rFonts w:cs="Arial" w:ascii="Arial" w:hAnsi="Arial"/>
        </w:rPr>
        <w:t>Wszystkie zarządzone przez komisję roboty poprawkowe lub uzupełniające będą zestawione wg wzoru ustalonego przez Inwestora, wykonane i zgłoszone pismem przez Wykonawcę do odbioru w terminie ustalonym przez komisję.</w:t>
      </w:r>
    </w:p>
    <w:p>
      <w:pPr>
        <w:pStyle w:val="Heading1"/>
        <w:numPr>
          <w:ilvl w:val="0"/>
          <w:numId w:val="13"/>
        </w:numPr>
        <w:ind w:hanging="360" w:start="426" w:end="423"/>
        <w:rPr>
          <w:rFonts w:ascii="Arial" w:hAnsi="Arial" w:cs="Arial"/>
          <w:sz w:val="24"/>
          <w:szCs w:val="24"/>
        </w:rPr>
      </w:pPr>
      <w:bookmarkStart w:id="261" w:name="_Toc215176968"/>
      <w:bookmarkStart w:id="262" w:name="_Toc535218254"/>
      <w:bookmarkStart w:id="263" w:name="_Hlk500007272"/>
      <w:bookmarkEnd w:id="262"/>
      <w:bookmarkEnd w:id="263"/>
      <w:r>
        <w:rPr>
          <w:rFonts w:cs="Arial" w:ascii="Arial" w:hAnsi="Arial"/>
          <w:sz w:val="24"/>
          <w:szCs w:val="24"/>
        </w:rPr>
        <w:t>PODSTAWA ROZLICZENIA ROBOT</w:t>
      </w:r>
      <w:bookmarkStart w:id="264" w:name="_Toc115621742"/>
      <w:bookmarkStart w:id="265" w:name="_Toc51793649"/>
      <w:bookmarkStart w:id="266" w:name="_Toc500062489"/>
      <w:bookmarkStart w:id="267" w:name="_Toc500062380"/>
      <w:bookmarkStart w:id="268" w:name="_Toc500006637"/>
      <w:bookmarkStart w:id="269" w:name="_Toc521263429"/>
      <w:bookmarkStart w:id="270" w:name="_Toc521263666"/>
      <w:bookmarkStart w:id="271" w:name="_Toc521263873"/>
      <w:bookmarkStart w:id="272" w:name="_Toc521263978"/>
      <w:bookmarkStart w:id="273" w:name="_Toc535218266"/>
      <w:bookmarkStart w:id="274" w:name="_Toc115621732"/>
      <w:bookmarkStart w:id="275" w:name="_Toc51793639"/>
      <w:bookmarkStart w:id="276" w:name="_Toc500062479"/>
      <w:bookmarkStart w:id="277" w:name="_Toc500062370"/>
      <w:bookmarkStart w:id="278" w:name="_Toc500006627"/>
      <w:bookmarkStart w:id="279" w:name="_Toc521263419"/>
      <w:bookmarkStart w:id="280" w:name="_Toc521263656"/>
      <w:bookmarkStart w:id="281" w:name="_Toc521263863"/>
      <w:bookmarkStart w:id="282" w:name="_Toc521263968"/>
      <w:bookmarkStart w:id="283" w:name="_Toc535218256"/>
      <w:bookmarkStart w:id="284" w:name="_Toc115621731"/>
      <w:bookmarkStart w:id="285" w:name="_Toc51793638"/>
      <w:bookmarkStart w:id="286" w:name="_Toc500062478"/>
      <w:bookmarkStart w:id="287" w:name="_Toc500062369"/>
      <w:bookmarkStart w:id="288" w:name="_Toc500006626"/>
      <w:bookmarkStart w:id="289" w:name="_Toc498686001"/>
      <w:bookmarkStart w:id="290" w:name="_Toc498678692"/>
      <w:bookmarkStart w:id="291" w:name="_Toc521263418"/>
      <w:bookmarkStart w:id="292" w:name="_Toc521263655"/>
      <w:bookmarkStart w:id="293" w:name="_Toc521263862"/>
      <w:bookmarkStart w:id="294" w:name="_Toc521263967"/>
      <w:bookmarkStart w:id="295" w:name="_Toc535218255"/>
      <w:bookmarkEnd w:id="261"/>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pPr>
        <w:pStyle w:val="Heading2"/>
        <w:numPr>
          <w:ilvl w:val="1"/>
          <w:numId w:val="13"/>
        </w:numPr>
        <w:ind w:hanging="432" w:start="426" w:end="423"/>
        <w:rPr>
          <w:rFonts w:ascii="Arial" w:hAnsi="Arial" w:cs="Arial"/>
          <w:sz w:val="24"/>
          <w:szCs w:val="24"/>
        </w:rPr>
      </w:pPr>
      <w:bookmarkStart w:id="296" w:name="_Toc215176969"/>
      <w:bookmarkStart w:id="297" w:name="_Toc535218267"/>
      <w:bookmarkEnd w:id="297"/>
      <w:r>
        <w:rPr>
          <w:rFonts w:cs="Arial" w:ascii="Arial" w:hAnsi="Arial"/>
          <w:sz w:val="24"/>
          <w:szCs w:val="24"/>
        </w:rPr>
        <w:t>Zasady rozliczenia i płatności</w:t>
      </w:r>
      <w:bookmarkEnd w:id="296"/>
    </w:p>
    <w:p>
      <w:pPr>
        <w:pStyle w:val="Normal"/>
        <w:shd w:val="clear" w:color="auto" w:fill="FFFFFF"/>
        <w:ind w:firstLine="282" w:start="426" w:end="423"/>
        <w:rPr>
          <w:sz w:val="24"/>
          <w:szCs w:val="24"/>
        </w:rPr>
      </w:pPr>
      <w:r>
        <w:rPr>
          <w:color w:val="000000"/>
          <w:spacing w:val="1"/>
          <w:sz w:val="24"/>
          <w:szCs w:val="24"/>
        </w:rPr>
        <w:t xml:space="preserve">Rozliczenie robót montażowych instalacji elektrycznych może być dokonane jednorazowo </w:t>
      </w:r>
      <w:r>
        <w:rPr>
          <w:color w:val="000000"/>
          <w:spacing w:val="4"/>
          <w:sz w:val="24"/>
          <w:szCs w:val="24"/>
        </w:rPr>
        <w:t xml:space="preserve">po wykonaniu pełnego zakresu robót i ich końcowym odbiorze lub etapami określonymi </w:t>
      </w:r>
      <w:r>
        <w:rPr>
          <w:color w:val="000000"/>
          <w:sz w:val="24"/>
          <w:szCs w:val="24"/>
        </w:rPr>
        <w:t>w umowie, po dokonaniu odbiorów częściowych robót.</w:t>
      </w:r>
    </w:p>
    <w:p>
      <w:pPr>
        <w:pStyle w:val="Normal"/>
        <w:shd w:val="clear" w:color="auto" w:fill="FFFFFF"/>
        <w:ind w:start="426" w:end="423"/>
        <w:rPr>
          <w:sz w:val="24"/>
          <w:szCs w:val="24"/>
        </w:rPr>
      </w:pPr>
      <w:r>
        <w:rPr>
          <w:color w:val="000000"/>
          <w:sz w:val="24"/>
          <w:szCs w:val="24"/>
        </w:rPr>
        <w:t>Ostateczne rozliczenie umowy pomiędzy zamawiającym a wykonawcą następuje po do</w:t>
      </w:r>
      <w:r>
        <w:rPr>
          <w:color w:val="000000"/>
          <w:spacing w:val="-1"/>
          <w:sz w:val="24"/>
          <w:szCs w:val="24"/>
        </w:rPr>
        <w:t>konaniu odbioru pogwarancyjnego.</w:t>
      </w:r>
    </w:p>
    <w:p>
      <w:pPr>
        <w:pStyle w:val="Normal"/>
        <w:shd w:val="clear" w:color="auto" w:fill="FFFFFF"/>
        <w:ind w:start="426" w:end="423"/>
        <w:rPr>
          <w:sz w:val="24"/>
          <w:szCs w:val="24"/>
        </w:rPr>
      </w:pPr>
      <w:r>
        <w:rPr>
          <w:color w:val="000000"/>
          <w:spacing w:val="2"/>
          <w:sz w:val="24"/>
          <w:szCs w:val="24"/>
        </w:rPr>
        <w:t xml:space="preserve">Podstawę rozliczenia oraz płatności wykonanego i odebranego zakresu robót stanowi </w:t>
      </w:r>
      <w:r>
        <w:rPr>
          <w:color w:val="000000"/>
          <w:sz w:val="24"/>
          <w:szCs w:val="24"/>
        </w:rPr>
        <w:t>wartość tych robót obliczona na podstawie:</w:t>
      </w:r>
    </w:p>
    <w:p>
      <w:pPr>
        <w:pStyle w:val="Normal"/>
        <w:numPr>
          <w:ilvl w:val="0"/>
          <w:numId w:val="3"/>
        </w:numPr>
        <w:shd w:val="clear" w:color="auto" w:fill="FFFFFF"/>
        <w:ind w:hanging="292" w:start="426" w:end="423"/>
        <w:rPr>
          <w:sz w:val="24"/>
          <w:szCs w:val="24"/>
        </w:rPr>
      </w:pPr>
      <w:r>
        <w:rPr>
          <w:color w:val="000000"/>
          <w:sz w:val="24"/>
          <w:szCs w:val="24"/>
        </w:rPr>
        <w:t>określonych w dokumentach umownych (ofercie) cen jednostkowych i ilości robót zaakceptowanych przez zamawiającego lub</w:t>
      </w:r>
    </w:p>
    <w:p>
      <w:pPr>
        <w:pStyle w:val="Normal"/>
        <w:numPr>
          <w:ilvl w:val="0"/>
          <w:numId w:val="3"/>
        </w:numPr>
        <w:shd w:val="clear" w:color="auto" w:fill="FFFFFF"/>
        <w:ind w:start="426" w:end="423"/>
        <w:rPr>
          <w:sz w:val="24"/>
          <w:szCs w:val="24"/>
        </w:rPr>
      </w:pPr>
      <w:r>
        <w:rPr>
          <w:color w:val="000000"/>
          <w:sz w:val="24"/>
          <w:szCs w:val="24"/>
        </w:rPr>
        <w:t>ustalonej w umowie kwoty ryczałtowej za określony zakres robót.</w:t>
      </w:r>
    </w:p>
    <w:p>
      <w:pPr>
        <w:pStyle w:val="Normal"/>
        <w:shd w:val="clear" w:color="auto" w:fill="FFFFFF"/>
        <w:ind w:start="426" w:end="423"/>
        <w:rPr>
          <w:sz w:val="24"/>
          <w:szCs w:val="24"/>
        </w:rPr>
      </w:pPr>
      <w:r>
        <w:rPr>
          <w:color w:val="000000"/>
          <w:spacing w:val="1"/>
          <w:sz w:val="24"/>
          <w:szCs w:val="24"/>
        </w:rPr>
        <w:t>Ceny jednostkowe wykonania, robót instalacji elektrycznych lub kwoty ryczałtowe obej</w:t>
      </w:r>
      <w:r>
        <w:rPr>
          <w:color w:val="000000"/>
          <w:sz w:val="24"/>
          <w:szCs w:val="24"/>
        </w:rPr>
        <w:t>mujące roboty instalacyjne uwzględniają również:</w:t>
      </w:r>
    </w:p>
    <w:p>
      <w:pPr>
        <w:pStyle w:val="Normal"/>
        <w:numPr>
          <w:ilvl w:val="0"/>
          <w:numId w:val="4"/>
        </w:numPr>
        <w:shd w:val="clear" w:color="auto" w:fill="FFFFFF"/>
        <w:ind w:start="426" w:end="423"/>
        <w:rPr>
          <w:sz w:val="24"/>
          <w:szCs w:val="24"/>
        </w:rPr>
      </w:pPr>
      <w:r>
        <w:rPr>
          <w:color w:val="000000"/>
          <w:sz w:val="24"/>
          <w:szCs w:val="24"/>
        </w:rPr>
        <w:t>przygotowanie stanowiska roboczego,</w:t>
      </w:r>
    </w:p>
    <w:p>
      <w:pPr>
        <w:pStyle w:val="Normal"/>
        <w:numPr>
          <w:ilvl w:val="0"/>
          <w:numId w:val="4"/>
        </w:numPr>
        <w:shd w:val="clear" w:color="auto" w:fill="FFFFFF"/>
        <w:ind w:start="426" w:end="423"/>
        <w:rPr>
          <w:sz w:val="24"/>
          <w:szCs w:val="24"/>
        </w:rPr>
      </w:pPr>
      <w:r>
        <w:rPr>
          <w:color w:val="000000"/>
          <w:sz w:val="24"/>
          <w:szCs w:val="24"/>
        </w:rPr>
        <w:t>dostarczenie do stanowiska roboczego materiałów, narzędzi i sprzętu,</w:t>
      </w:r>
    </w:p>
    <w:p>
      <w:pPr>
        <w:pStyle w:val="Normal"/>
        <w:numPr>
          <w:ilvl w:val="0"/>
          <w:numId w:val="4"/>
        </w:numPr>
        <w:shd w:val="clear" w:color="auto" w:fill="FFFFFF"/>
        <w:ind w:start="426" w:end="423"/>
        <w:rPr>
          <w:sz w:val="24"/>
          <w:szCs w:val="24"/>
        </w:rPr>
      </w:pPr>
      <w:r>
        <w:rPr>
          <w:color w:val="000000"/>
          <w:sz w:val="24"/>
          <w:szCs w:val="24"/>
        </w:rPr>
        <w:t>obsługę sprzętu nie posiadającego etatowej obsługi,</w:t>
      </w:r>
    </w:p>
    <w:p>
      <w:pPr>
        <w:pStyle w:val="Normal"/>
        <w:numPr>
          <w:ilvl w:val="0"/>
          <w:numId w:val="4"/>
        </w:numPr>
        <w:shd w:val="clear" w:color="auto" w:fill="FFFFFF"/>
        <w:ind w:hanging="288" w:start="426" w:end="423"/>
        <w:rPr>
          <w:sz w:val="24"/>
          <w:szCs w:val="24"/>
        </w:rPr>
      </w:pPr>
      <w:r>
        <w:rPr>
          <w:color w:val="000000"/>
          <w:sz w:val="24"/>
          <w:szCs w:val="24"/>
        </w:rPr>
        <w:t>ustawienie i przestawienie drabin oraz lekkich rusztowań przesławnych umożliwiających wykonanie robót na wysokości do 4 m (jeśli taka konieczność występuje),</w:t>
      </w:r>
    </w:p>
    <w:p>
      <w:pPr>
        <w:pStyle w:val="Normal"/>
        <w:numPr>
          <w:ilvl w:val="0"/>
          <w:numId w:val="4"/>
        </w:numPr>
        <w:shd w:val="clear" w:color="auto" w:fill="FFFFFF"/>
        <w:ind w:start="426" w:end="423"/>
        <w:rPr>
          <w:sz w:val="24"/>
          <w:szCs w:val="24"/>
        </w:rPr>
      </w:pPr>
      <w:r>
        <w:rPr>
          <w:color w:val="000000"/>
          <w:sz w:val="24"/>
          <w:szCs w:val="24"/>
        </w:rPr>
        <w:t>usunięcie wad i usterek oraz naprawienie uszkodzeń powstałych w czasie robót,</w:t>
      </w:r>
    </w:p>
    <w:p>
      <w:pPr>
        <w:pStyle w:val="Normal"/>
        <w:numPr>
          <w:ilvl w:val="0"/>
          <w:numId w:val="4"/>
        </w:numPr>
        <w:shd w:val="clear" w:color="auto" w:fill="FFFFFF"/>
        <w:ind w:start="426" w:end="423"/>
        <w:rPr>
          <w:sz w:val="24"/>
          <w:szCs w:val="24"/>
        </w:rPr>
      </w:pPr>
      <w:r>
        <w:rPr>
          <w:color w:val="000000"/>
          <w:sz w:val="24"/>
          <w:szCs w:val="24"/>
        </w:rPr>
        <w:t>uporządkowanie miejsca wykonywania robót,</w:t>
      </w:r>
    </w:p>
    <w:p>
      <w:pPr>
        <w:pStyle w:val="Normal"/>
        <w:numPr>
          <w:ilvl w:val="0"/>
          <w:numId w:val="4"/>
        </w:numPr>
        <w:shd w:val="clear" w:color="auto" w:fill="FFFFFF"/>
        <w:ind w:hanging="288" w:start="426" w:end="423"/>
        <w:rPr>
          <w:sz w:val="24"/>
          <w:szCs w:val="24"/>
        </w:rPr>
      </w:pPr>
      <w:r>
        <w:rPr>
          <w:color w:val="000000"/>
          <w:spacing w:val="2"/>
          <w:sz w:val="24"/>
          <w:szCs w:val="24"/>
        </w:rPr>
        <w:t xml:space="preserve">usunięcie pozostałości, resztek i odpadów materiałów w sposób podany w specyfikacji </w:t>
      </w:r>
      <w:r>
        <w:rPr>
          <w:color w:val="000000"/>
          <w:sz w:val="24"/>
          <w:szCs w:val="24"/>
        </w:rPr>
        <w:t>technicznej szczegółowej,</w:t>
      </w:r>
    </w:p>
    <w:p>
      <w:pPr>
        <w:pStyle w:val="Normal"/>
        <w:numPr>
          <w:ilvl w:val="0"/>
          <w:numId w:val="4"/>
        </w:numPr>
        <w:shd w:val="clear" w:color="auto" w:fill="FFFFFF"/>
        <w:ind w:start="426" w:end="423"/>
        <w:rPr>
          <w:sz w:val="24"/>
          <w:szCs w:val="24"/>
        </w:rPr>
      </w:pPr>
      <w:r>
        <w:rPr>
          <w:color w:val="000000"/>
          <w:sz w:val="24"/>
          <w:szCs w:val="24"/>
        </w:rPr>
        <w:t>likwidację stanowiska roboczego.</w:t>
      </w:r>
    </w:p>
    <w:p>
      <w:pPr>
        <w:pStyle w:val="Normal"/>
        <w:shd w:val="clear" w:color="auto" w:fill="FFFFFF"/>
        <w:ind w:start="426" w:end="423"/>
        <w:rPr>
          <w:sz w:val="24"/>
          <w:szCs w:val="24"/>
        </w:rPr>
      </w:pPr>
      <w:r>
        <w:rPr>
          <w:sz w:val="24"/>
          <w:szCs w:val="24"/>
        </w:rPr>
      </w:r>
    </w:p>
    <w:p>
      <w:pPr>
        <w:pStyle w:val="Normal"/>
        <w:shd w:val="clear" w:color="auto" w:fill="FFFFFF"/>
        <w:ind w:start="426" w:end="423"/>
        <w:rPr>
          <w:sz w:val="24"/>
          <w:szCs w:val="24"/>
        </w:rPr>
      </w:pPr>
      <w:r>
        <w:rPr>
          <w:color w:val="000000"/>
          <w:spacing w:val="-1"/>
          <w:sz w:val="24"/>
          <w:szCs w:val="24"/>
        </w:rPr>
        <w:t xml:space="preserve">W kwotach ryczałtowych ujęte są również koszty montażu, demontażu i pracy rusztowań </w:t>
      </w:r>
      <w:r>
        <w:rPr>
          <w:color w:val="000000"/>
          <w:sz w:val="24"/>
          <w:szCs w:val="24"/>
        </w:rPr>
        <w:t>niezbędnych do wykonania robót na wysokości do 4 m od poziomu terenu.</w:t>
      </w:r>
    </w:p>
    <w:p>
      <w:pPr>
        <w:pStyle w:val="Normal"/>
        <w:shd w:val="clear" w:color="auto" w:fill="FFFFFF"/>
        <w:ind w:start="426" w:end="423"/>
        <w:rPr>
          <w:sz w:val="24"/>
          <w:szCs w:val="24"/>
        </w:rPr>
      </w:pPr>
      <w:r>
        <w:rPr>
          <w:color w:val="000000"/>
          <w:sz w:val="24"/>
          <w:szCs w:val="24"/>
        </w:rPr>
        <w:t>Przy rozliczaniu robót według uzgodnionych cen jednostkowych koszty niezbędnych rusztowań mogą być uwzględnione w tych cenach lub stanowić podstawę oddzielnej płatno</w:t>
      </w:r>
      <w:r>
        <w:rPr>
          <w:color w:val="000000"/>
          <w:spacing w:val="1"/>
          <w:sz w:val="24"/>
          <w:szCs w:val="24"/>
        </w:rPr>
        <w:t xml:space="preserve">ści. Sposób rozliczenia kosztów montażu, demontażu i pracy rusztowań koniecznych do </w:t>
      </w:r>
      <w:r>
        <w:rPr>
          <w:color w:val="000000"/>
          <w:sz w:val="24"/>
          <w:szCs w:val="24"/>
        </w:rPr>
        <w:t>wykonywania robót na wysokości powyżej 4 m, należy ustalić w postanowieniach pkt. 9 specyfikacji technicznej (szczegółowej) SST robót w zakresie instalacji oraz opraw elektrycznych opracowanej dla realizowanego przedmiotu zamówienia.</w:t>
      </w:r>
    </w:p>
    <w:p>
      <w:pPr>
        <w:pStyle w:val="Normal"/>
        <w:shd w:val="clear" w:color="auto" w:fill="FFFFFF"/>
        <w:ind w:start="426" w:end="423"/>
        <w:rPr>
          <w:sz w:val="24"/>
          <w:szCs w:val="24"/>
        </w:rPr>
      </w:pPr>
      <w:r>
        <w:rPr>
          <w:sz w:val="24"/>
          <w:szCs w:val="24"/>
        </w:rPr>
      </w:r>
    </w:p>
    <w:p>
      <w:pPr>
        <w:pStyle w:val="Heading1"/>
        <w:numPr>
          <w:ilvl w:val="0"/>
          <w:numId w:val="13"/>
        </w:numPr>
        <w:ind w:hanging="360" w:start="426" w:end="423"/>
        <w:rPr>
          <w:rFonts w:ascii="Arial" w:hAnsi="Arial" w:cs="Arial"/>
          <w:sz w:val="24"/>
          <w:szCs w:val="24"/>
        </w:rPr>
      </w:pPr>
      <w:r>
        <w:rPr>
          <w:rFonts w:cs="Arial" w:ascii="Arial" w:hAnsi="Arial"/>
          <w:sz w:val="24"/>
          <w:szCs w:val="24"/>
        </w:rPr>
        <w:t xml:space="preserve"> </w:t>
      </w:r>
      <w:bookmarkStart w:id="298" w:name="_Toc215176970"/>
      <w:bookmarkStart w:id="299" w:name="_Toc535218268"/>
      <w:r>
        <w:rPr>
          <w:rFonts w:cs="Arial" w:ascii="Arial" w:hAnsi="Arial"/>
          <w:sz w:val="24"/>
          <w:szCs w:val="24"/>
        </w:rPr>
        <w:t>DOKUMENTY</w:t>
      </w:r>
      <w:bookmarkEnd w:id="298"/>
      <w:bookmarkEnd w:id="299"/>
      <w:r>
        <w:rPr>
          <w:rFonts w:cs="Arial" w:ascii="Arial" w:hAnsi="Arial"/>
          <w:sz w:val="24"/>
          <w:szCs w:val="24"/>
        </w:rPr>
        <w:t xml:space="preserve"> </w:t>
      </w:r>
    </w:p>
    <w:p>
      <w:pPr>
        <w:pStyle w:val="Heading2"/>
        <w:numPr>
          <w:ilvl w:val="1"/>
          <w:numId w:val="13"/>
        </w:numPr>
        <w:ind w:hanging="432" w:start="426" w:end="423"/>
        <w:rPr>
          <w:rFonts w:ascii="Arial" w:hAnsi="Arial" w:cs="Arial"/>
          <w:sz w:val="24"/>
          <w:szCs w:val="24"/>
        </w:rPr>
      </w:pPr>
      <w:bookmarkStart w:id="300" w:name="_Toc215176971"/>
      <w:bookmarkStart w:id="301" w:name="_Toc535218282"/>
      <w:bookmarkStart w:id="302" w:name="_Toc115621745"/>
      <w:bookmarkStart w:id="303" w:name="_Toc51793652"/>
      <w:bookmarkStart w:id="304" w:name="_Toc500062492"/>
      <w:bookmarkStart w:id="305" w:name="_Toc500062383"/>
      <w:bookmarkStart w:id="306" w:name="_Toc500006640"/>
      <w:bookmarkStart w:id="307" w:name="_Toc498686012"/>
      <w:bookmarkStart w:id="308" w:name="_Toc498678703"/>
      <w:bookmarkStart w:id="309" w:name="_Toc521263432"/>
      <w:bookmarkStart w:id="310" w:name="_Toc521263669"/>
      <w:bookmarkStart w:id="311" w:name="_Toc521263876"/>
      <w:bookmarkStart w:id="312" w:name="_Toc521263981"/>
      <w:bookmarkStart w:id="313" w:name="_Toc535218269"/>
      <w:bookmarkEnd w:id="301"/>
      <w:bookmarkEnd w:id="302"/>
      <w:bookmarkEnd w:id="303"/>
      <w:bookmarkEnd w:id="304"/>
      <w:bookmarkEnd w:id="305"/>
      <w:bookmarkEnd w:id="306"/>
      <w:bookmarkEnd w:id="307"/>
      <w:bookmarkEnd w:id="308"/>
      <w:bookmarkEnd w:id="309"/>
      <w:bookmarkEnd w:id="310"/>
      <w:bookmarkEnd w:id="311"/>
      <w:bookmarkEnd w:id="312"/>
      <w:bookmarkEnd w:id="313"/>
      <w:r>
        <w:rPr>
          <w:rFonts w:cs="Arial" w:ascii="Arial" w:hAnsi="Arial"/>
          <w:sz w:val="24"/>
          <w:szCs w:val="24"/>
        </w:rPr>
        <w:t>Normy</w:t>
      </w:r>
      <w:bookmarkEnd w:id="300"/>
    </w:p>
    <w:p>
      <w:pPr>
        <w:pStyle w:val="Normal"/>
        <w:shd w:val="clear" w:color="auto" w:fill="FFFFFF"/>
        <w:ind w:start="426" w:end="423"/>
        <w:rPr>
          <w:b/>
          <w:bCs/>
          <w:color w:val="000000"/>
          <w:spacing w:val="-2"/>
          <w:sz w:val="24"/>
          <w:szCs w:val="24"/>
        </w:rPr>
      </w:pPr>
      <w:r>
        <w:rPr>
          <w:b/>
          <w:bCs/>
          <w:color w:val="000000"/>
          <w:spacing w:val="-2"/>
          <w:sz w:val="24"/>
          <w:szCs w:val="24"/>
        </w:rPr>
      </w:r>
    </w:p>
    <w:tbl>
      <w:tblPr>
        <w:tblW w:w="9406" w:type="dxa"/>
        <w:jc w:val="start"/>
        <w:tblInd w:w="0" w:type="dxa"/>
        <w:tblLayout w:type="fixed"/>
        <w:tblCellMar>
          <w:top w:w="0" w:type="dxa"/>
          <w:start w:w="103" w:type="dxa"/>
          <w:bottom w:w="0" w:type="dxa"/>
          <w:end w:w="108" w:type="dxa"/>
        </w:tblCellMar>
        <w:tblLook w:firstRow="1" w:noVBand="0" w:lastRow="1" w:firstColumn="1" w:lastColumn="1" w:noHBand="0" w:val="01e0"/>
      </w:tblPr>
      <w:tblGrid>
        <w:gridCol w:w="2660"/>
        <w:gridCol w:w="6745"/>
      </w:tblGrid>
      <w:tr>
        <w:trPr/>
        <w:tc>
          <w:tcPr>
            <w:tcW w:w="2660"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pacing w:val="-1"/>
                <w:sz w:val="24"/>
                <w:szCs w:val="24"/>
              </w:rPr>
              <w:t>PN-IEC 60364-1:2000</w:t>
            </w:r>
          </w:p>
          <w:p>
            <w:pPr>
              <w:pStyle w:val="Normal"/>
              <w:ind w:start="426" w:end="423"/>
              <w:rPr>
                <w:b/>
                <w:bCs/>
                <w:color w:val="000000"/>
                <w:spacing w:val="-2"/>
                <w:sz w:val="24"/>
                <w:szCs w:val="24"/>
              </w:rPr>
            </w:pPr>
            <w:r>
              <w:rPr>
                <w:b/>
                <w:bCs/>
                <w:color w:val="000000"/>
                <w:spacing w:val="-2"/>
                <w:sz w:val="24"/>
                <w:szCs w:val="24"/>
              </w:rPr>
            </w:r>
          </w:p>
        </w:tc>
        <w:tc>
          <w:tcPr>
            <w:tcW w:w="6745"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pacing w:val="3"/>
                <w:sz w:val="24"/>
                <w:szCs w:val="24"/>
              </w:rPr>
              <w:t xml:space="preserve">Instalacje elektryczne w obiektach budowlanych. Zakres, </w:t>
            </w:r>
            <w:r>
              <w:rPr>
                <w:color w:val="000000"/>
                <w:spacing w:val="-1"/>
                <w:sz w:val="24"/>
                <w:szCs w:val="24"/>
              </w:rPr>
              <w:t>przedmiot i wymagania podstawowe.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PN-IEC 60364-4-41:2000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Instalacje elektryczne w obiektach budowlanych. Ochrona dla zapewnienia bezpieczeństwa. Ochrona przeciwporażeniowa.</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60364-4-42:1999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Instalacje elektryczne w obiektach budowlanych. Ochrona dla zapewnienia bezpieczeństwa. Ochrona przed skutkami oddziaływania cieplnego.</w:t>
            </w:r>
            <w:r>
              <w:rPr>
                <w:color w:val="000000"/>
                <w:spacing w:val="-1"/>
                <w:sz w:val="24"/>
                <w:szCs w:val="24"/>
              </w:rPr>
              <w:t xml:space="preserve"> -lub norma równorzędna</w:t>
            </w:r>
          </w:p>
        </w:tc>
      </w:tr>
      <w:tr>
        <w:trPr>
          <w:trHeight w:val="466" w:hRule="atLeast"/>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PN-IEC 60364-4-43:1999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Instalacje elektryczne w obiektach budowlanych. Ochrona dla zapewnienia bezpieczeństwa. Ochrona przed prądem przetę</w:t>
            </w:r>
            <w:r>
              <w:rPr>
                <w:color w:val="000000"/>
                <w:spacing w:val="-2"/>
                <w:sz w:val="24"/>
                <w:szCs w:val="24"/>
              </w:rPr>
              <w:t>żeniowym.</w:t>
            </w:r>
            <w:r>
              <w:rPr>
                <w:color w:val="000000"/>
                <w:spacing w:val="-1"/>
                <w:sz w:val="24"/>
                <w:szCs w:val="24"/>
              </w:rPr>
              <w:t xml:space="preserve"> -lub norma równorzędna</w:t>
            </w:r>
          </w:p>
        </w:tc>
      </w:tr>
      <w:tr>
        <w:trPr>
          <w:trHeight w:val="415" w:hRule="atLeast"/>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60364-4-46:1999</w:t>
            </w:r>
          </w:p>
        </w:tc>
        <w:tc>
          <w:tcPr>
            <w:tcW w:w="6745"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z w:val="24"/>
                <w:szCs w:val="24"/>
              </w:rPr>
              <w:t xml:space="preserve">Instalacje elektryczne w obiektach budowlanych. Ochrona dla </w:t>
            </w:r>
            <w:r>
              <w:rPr>
                <w:color w:val="000000"/>
                <w:spacing w:val="-1"/>
                <w:sz w:val="24"/>
                <w:szCs w:val="24"/>
              </w:rPr>
              <w:t>zapewnienia bezpieczeństwa. Odłączanie izolacyjne i łączenie.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3"/>
                <w:sz w:val="24"/>
                <w:szCs w:val="24"/>
              </w:rPr>
              <w:t>PN-IEC 60364-4-47:2001</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 xml:space="preserve">Instalacje elektryczne w obiektach budowlanych. Ochrona dla </w:t>
            </w:r>
            <w:r>
              <w:rPr>
                <w:color w:val="000000"/>
                <w:spacing w:val="-1"/>
                <w:sz w:val="24"/>
                <w:szCs w:val="24"/>
              </w:rPr>
              <w:t xml:space="preserve">zapewnienia bezpieczeństwa. Stosowanie środków ochrony dla </w:t>
            </w:r>
            <w:r>
              <w:rPr>
                <w:color w:val="000000"/>
                <w:spacing w:val="1"/>
                <w:sz w:val="24"/>
                <w:szCs w:val="24"/>
              </w:rPr>
              <w:t xml:space="preserve">zapewnienia bezpieczeństwa. Postanowienia ogólne. Środki </w:t>
            </w:r>
            <w:r>
              <w:rPr>
                <w:color w:val="000000"/>
                <w:sz w:val="24"/>
                <w:szCs w:val="24"/>
              </w:rPr>
              <w:t>ochrony przed porażeniem prądem elektrycznym.</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60364-5-51: 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Instalacje elektryczne w obiektach budowlanych. Dobór i mon</w:t>
            </w:r>
            <w:r>
              <w:rPr>
                <w:color w:val="000000"/>
                <w:sz w:val="24"/>
                <w:szCs w:val="24"/>
              </w:rPr>
              <w:t>taż wyposażenia elektrycznego. Postanowienia ogólne.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60364-5-52:2002</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Instalacje elektryczne w obiektach budowlanych. Dobór i mon</w:t>
            </w:r>
            <w:r>
              <w:rPr>
                <w:color w:val="000000"/>
                <w:sz w:val="24"/>
                <w:szCs w:val="24"/>
              </w:rPr>
              <w:t>taż wyposażenia elektrycznego. Oprzewodowanie.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PN-IEC 60364-5-523:2001</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Instalacje elektryczne w obiektach budowlanych. Dobór i mon</w:t>
            </w:r>
            <w:r>
              <w:rPr>
                <w:color w:val="000000"/>
                <w:sz w:val="24"/>
                <w:szCs w:val="24"/>
              </w:rPr>
              <w:t>taż wyposażenia elektrycznego. Obciążalność prądowa długo</w:t>
            </w:r>
            <w:r>
              <w:rPr>
                <w:color w:val="000000"/>
                <w:spacing w:val="-1"/>
                <w:sz w:val="24"/>
                <w:szCs w:val="24"/>
              </w:rPr>
              <w:t>trwała przewodów.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60364-5-53:2000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Dobór i montaż </w:t>
            </w:r>
            <w:r>
              <w:rPr>
                <w:color w:val="000000"/>
                <w:spacing w:val="-4"/>
                <w:sz w:val="24"/>
                <w:szCs w:val="24"/>
              </w:rPr>
              <w:t>wyposażenia elektrycznego. Aparatura rozdzielcza i sterownicza.</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60364-5-54:1999</w:t>
            </w:r>
          </w:p>
        </w:tc>
        <w:tc>
          <w:tcPr>
            <w:tcW w:w="6745"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pacing w:val="-2"/>
                <w:sz w:val="24"/>
                <w:szCs w:val="24"/>
              </w:rPr>
              <w:t>Instalacje elektryczne w obiektach budowlanych. Dobór i montaż wyposażenia elektrycznego. Uziemienia i przewody ochronne.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PN-IEC 60364-5-559:2003</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Instalacje elektryczne w obiektach budowlanych. Dobór i mon</w:t>
            </w:r>
            <w:r>
              <w:rPr>
                <w:color w:val="000000"/>
                <w:sz w:val="24"/>
                <w:szCs w:val="24"/>
              </w:rPr>
              <w:t xml:space="preserve">taż wyposażenia elektrycznego. Inne wyposażenie. Oprawy </w:t>
            </w:r>
            <w:r>
              <w:rPr>
                <w:color w:val="000000"/>
                <w:spacing w:val="-1"/>
                <w:sz w:val="24"/>
                <w:szCs w:val="24"/>
              </w:rPr>
              <w:t>oświetleniowe i instalacje oświetleniowe.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60364-5-56:1999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Instalacje elektryczne w obiektach budowlanych. Dobór i mon</w:t>
            </w:r>
            <w:r>
              <w:rPr>
                <w:color w:val="000000"/>
                <w:sz w:val="24"/>
                <w:szCs w:val="24"/>
              </w:rPr>
              <w:t xml:space="preserve">taż wyposażenia elektrycznego. Instalacje bezpieczeństwa. </w:t>
            </w:r>
            <w:r>
              <w:rPr>
                <w:color w:val="000000"/>
                <w:spacing w:val="-1"/>
                <w:sz w:val="24"/>
                <w:szCs w:val="24"/>
              </w:rPr>
              <w:t>-lub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PN-IEC 60364-6-61:2000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 xml:space="preserve">Instalacje elektryczne w obiektach budowlanych. Sprawdzanie. </w:t>
            </w:r>
            <w:r>
              <w:rPr>
                <w:color w:val="000000"/>
                <w:spacing w:val="-1"/>
                <w:sz w:val="24"/>
                <w:szCs w:val="24"/>
              </w:rPr>
              <w:t>Sprawdzanie odbiorcze.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60364-7-701:1999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Wymagania </w:t>
            </w:r>
            <w:r>
              <w:rPr>
                <w:color w:val="000000"/>
                <w:sz w:val="24"/>
                <w:szCs w:val="24"/>
              </w:rPr>
              <w:t xml:space="preserve">dotyczące specjalnych instalacji lub lokalizacji. Pomieszczenia </w:t>
            </w:r>
            <w:r>
              <w:rPr>
                <w:color w:val="000000"/>
                <w:spacing w:val="-1"/>
                <w:sz w:val="24"/>
                <w:szCs w:val="24"/>
              </w:rPr>
              <w:t>wyposażone w wannę lub/i basen natryskowy.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60364-7-702:1999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Wymagania </w:t>
            </w:r>
            <w:r>
              <w:rPr>
                <w:color w:val="000000"/>
                <w:spacing w:val="-1"/>
                <w:sz w:val="24"/>
                <w:szCs w:val="24"/>
              </w:rPr>
              <w:t>dotyczące specjalnych instalacji lub lokalizacji. Baseny pływac</w:t>
            </w:r>
            <w:r>
              <w:rPr>
                <w:color w:val="000000"/>
                <w:spacing w:val="-2"/>
                <w:sz w:val="24"/>
                <w:szCs w:val="24"/>
              </w:rPr>
              <w:t>kie i inne.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4"/>
                <w:sz w:val="24"/>
                <w:szCs w:val="24"/>
              </w:rPr>
              <w:t>PN-IEC 60364-7-702:1999/</w:t>
            </w:r>
            <w:r>
              <w:rPr>
                <w:color w:val="000000"/>
                <w:spacing w:val="-3"/>
                <w:sz w:val="24"/>
                <w:szCs w:val="24"/>
              </w:rPr>
              <w:t xml:space="preserve"> Ap1:2002</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4"/>
                <w:sz w:val="24"/>
                <w:szCs w:val="24"/>
              </w:rPr>
              <w:t>Instalacje elektryczne w obiektach budowlanych. Wymagania</w:t>
            </w:r>
            <w:r>
              <w:rPr>
                <w:color w:val="000000"/>
                <w:sz w:val="24"/>
                <w:szCs w:val="24"/>
              </w:rPr>
              <w:t xml:space="preserve"> </w:t>
            </w:r>
            <w:r>
              <w:rPr>
                <w:color w:val="000000"/>
                <w:spacing w:val="1"/>
                <w:sz w:val="24"/>
                <w:szCs w:val="24"/>
              </w:rPr>
              <w:t>dotyczące specjalnych instalacji lub lokalizacji. Baseny pływac</w:t>
            </w:r>
            <w:r>
              <w:rPr>
                <w:color w:val="000000"/>
                <w:spacing w:val="-2"/>
                <w:sz w:val="24"/>
                <w:szCs w:val="24"/>
              </w:rPr>
              <w:t>kie i inne.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60364-7-704:1999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Wymagania </w:t>
            </w:r>
            <w:r>
              <w:rPr>
                <w:color w:val="000000"/>
                <w:spacing w:val="-1"/>
                <w:sz w:val="24"/>
                <w:szCs w:val="24"/>
              </w:rPr>
              <w:t>dotyczące specjalnych instalacji lub lokalizacji. Instalacje na terenie budowy i rozbiórki.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60364-7-705:1999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Wymagania </w:t>
            </w:r>
            <w:r>
              <w:rPr>
                <w:color w:val="000000"/>
                <w:sz w:val="24"/>
                <w:szCs w:val="24"/>
              </w:rPr>
              <w:t>dotyczące specjalnych instalacji lub lokalizacji. Instalacje elektryczne w gospodarstwach rolniczych i ogrodniczych.</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60898:2000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Sprzęt elektroinstalacyjny. Wyłączniki do zabezpieczeń przetę</w:t>
            </w:r>
            <w:r>
              <w:rPr>
                <w:color w:val="000000"/>
                <w:sz w:val="24"/>
                <w:szCs w:val="24"/>
              </w:rPr>
              <w:t>żeniowych instalacji domowych i podobnych.</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lang w:val="de-DE"/>
              </w:rPr>
              <w:t>PN-EN 50146:2002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Wyposażenie do mocowania kabli w instalacji elektrycznych.</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PN-EN 60445:2002</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Zasady podstawowe i bezpieczeństwa przy współdziałaniu </w:t>
            </w:r>
            <w:r>
              <w:rPr>
                <w:color w:val="000000"/>
                <w:sz w:val="24"/>
                <w:szCs w:val="24"/>
              </w:rPr>
              <w:t xml:space="preserve">człowieka z maszyną, oznaczanie i identyfikacja. Oznaczenia identyfikacyjne zacisków urządzeń i zakończeń żył przewodów </w:t>
            </w:r>
            <w:r>
              <w:rPr>
                <w:color w:val="000000"/>
                <w:spacing w:val="-1"/>
                <w:sz w:val="24"/>
                <w:szCs w:val="24"/>
              </w:rPr>
              <w:t>oraz ogólne zasady systemu alfanumerycznego.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PN-EN 60446:2004</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 xml:space="preserve">Zasady podstawowe i bezpieczeństwa przy współdziałaniu człowieka z maszyną, oznaczanie i identyfikacja. Oznaczenia </w:t>
            </w:r>
            <w:r>
              <w:rPr>
                <w:color w:val="000000"/>
                <w:spacing w:val="-1"/>
                <w:sz w:val="24"/>
                <w:szCs w:val="24"/>
              </w:rPr>
              <w:t>identyfikacyjne przewodów barwami albo cyframi.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PN-EN 60529:2003</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Stopnie ochrony zapewnianej przez obudowy (Kod IP).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lang w:val="de-DE"/>
              </w:rPr>
              <w:t>PN-EN 60664-1:2003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Koordynacja izolacji urządzeń elektrycznych w układach niskiego napięcia. Część 1: Zasady, wymagania i badania.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lang w:val="de-DE"/>
              </w:rPr>
              <w:t>PN-EN 60670-1:2005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Puszki i obudowy do sprzętu elektroinstalacyjnego do użytku domowego i podobnego. Część 1: Wymagania ogólne.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PN-EN 60799:2004</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Sprzęt elektroinstalacyjny. Przewody przyłączeniowe i przewo</w:t>
            </w:r>
            <w:r>
              <w:rPr>
                <w:color w:val="000000"/>
                <w:spacing w:val="-1"/>
                <w:sz w:val="24"/>
                <w:szCs w:val="24"/>
              </w:rPr>
              <w:t>dy pośredniczące.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pacing w:val="-2"/>
                <w:sz w:val="24"/>
                <w:szCs w:val="24"/>
                <w:lang w:val="de-DE"/>
              </w:rPr>
              <w:t>PN-EN 60898-1:2003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Sprzęt elektroinstalacyjny. Wyłączniki do zabezpieczeń przetężeniowych instalacji domowych i podobnych. Część 1: Wyłączniki do obwodów prądu przemiennego.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PN-EN 60898-1:2003/</w:t>
            </w:r>
          </w:p>
          <w:p>
            <w:pPr>
              <w:pStyle w:val="Normal"/>
              <w:ind w:start="426" w:end="423"/>
              <w:rPr>
                <w:sz w:val="24"/>
                <w:szCs w:val="24"/>
              </w:rPr>
            </w:pPr>
            <w:r>
              <w:rPr>
                <w:color w:val="000000"/>
                <w:spacing w:val="3"/>
                <w:sz w:val="24"/>
                <w:szCs w:val="24"/>
              </w:rPr>
              <w:t>A1:2005(U)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Sprzęt elektroinstalacyjny. Wyłączniki do zabezpieczeń przetę</w:t>
            </w:r>
            <w:r>
              <w:rPr>
                <w:color w:val="000000"/>
                <w:spacing w:val="-1"/>
                <w:sz w:val="24"/>
                <w:szCs w:val="24"/>
              </w:rPr>
              <w:t>żeniowych instalacji domowych i podobnych. Część 1: Wyłączniki do obwodów prądu przemiennego (Zmiana A1).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lang w:val="de-DE"/>
              </w:rPr>
              <w:t>PN-EN 60898-1:2003/</w:t>
            </w:r>
          </w:p>
          <w:p>
            <w:pPr>
              <w:pStyle w:val="Normal"/>
              <w:ind w:start="426" w:end="423"/>
              <w:rPr>
                <w:sz w:val="24"/>
                <w:szCs w:val="24"/>
              </w:rPr>
            </w:pPr>
            <w:r>
              <w:rPr>
                <w:color w:val="000000"/>
                <w:spacing w:val="-1"/>
                <w:sz w:val="24"/>
                <w:szCs w:val="24"/>
                <w:lang w:val="de-DE"/>
              </w:rPr>
              <w:t>AC:2005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Sprzęt elektroinstalacyjny. Wyłączniki do zabezpieczeń przetę</w:t>
            </w:r>
            <w:r>
              <w:rPr>
                <w:color w:val="000000"/>
                <w:spacing w:val="-1"/>
                <w:sz w:val="24"/>
                <w:szCs w:val="24"/>
              </w:rPr>
              <w:t>żeniowych instalacji domowych i podobnych. Część 1: Wyłączniki do obwodów prądu przemiennego.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lang w:val="de-DE"/>
              </w:rPr>
              <w:t>PN-EN 61008-1:2005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Sprzęt elektroinstalacyjny. Wyłączniki różnicowoprądowe bez wbudowanego zabezpieczenia nadprądowego do użytku do</w:t>
            </w:r>
            <w:r>
              <w:rPr>
                <w:color w:val="000000"/>
                <w:spacing w:val="-1"/>
                <w:sz w:val="24"/>
                <w:szCs w:val="24"/>
              </w:rPr>
              <w:t>mowego i podobnego (RCCB). Część 1: Postanowienia ogólne.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lang w:val="de-DE"/>
              </w:rPr>
              <w:t>PN-EN 61009-1:2005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3"/>
                <w:sz w:val="24"/>
                <w:szCs w:val="24"/>
              </w:rPr>
              <w:t>Sprzęt elektroinstalacyjny. Wyłączniki różnicowoprądowe z wbu</w:t>
            </w:r>
            <w:r>
              <w:rPr>
                <w:color w:val="000000"/>
                <w:spacing w:val="-1"/>
                <w:sz w:val="24"/>
                <w:szCs w:val="24"/>
              </w:rPr>
              <w:t xml:space="preserve">dowanym zabezpieczeniem nadprądowym do użytku domowego </w:t>
            </w:r>
            <w:r>
              <w:rPr>
                <w:color w:val="000000"/>
                <w:spacing w:val="-3"/>
                <w:sz w:val="24"/>
                <w:szCs w:val="24"/>
              </w:rPr>
              <w:t>i podobnego (RCBO). Część 1: Postanowienia ogólne.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PN-E-04700:1998</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6"/>
                <w:sz w:val="24"/>
                <w:szCs w:val="24"/>
              </w:rPr>
              <w:t>Urządzenia i układy elektryczne w obiektach elektroenergetycznych. Wytyczne przeprowadzania pomontażowych badań odbiorczych.</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lang w:val="de-DE"/>
              </w:rPr>
              <w:t>PN-E-04700:1998/ Az1:2000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Urządzenia i układy elektryczne w obiektach elektroenergetycz</w:t>
            </w:r>
            <w:r>
              <w:rPr>
                <w:color w:val="000000"/>
                <w:spacing w:val="1"/>
                <w:sz w:val="24"/>
                <w:szCs w:val="24"/>
              </w:rPr>
              <w:t>nych. Wytyczne przeprowadzania pomontażowych badań od</w:t>
            </w:r>
            <w:r>
              <w:rPr>
                <w:color w:val="000000"/>
                <w:spacing w:val="-1"/>
                <w:sz w:val="24"/>
                <w:szCs w:val="24"/>
              </w:rPr>
              <w:t>biorczych (Zmiana Az1).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PN-E-93207:1998</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 xml:space="preserve">Sprzęt elektroinstalacyjny. Odgałęźniki instalacyjne i płytki odgałęźne na napięcie do 750 V do przewodów o przekrojach do </w:t>
            </w:r>
            <w:r>
              <w:rPr>
                <w:color w:val="000000"/>
                <w:spacing w:val="-2"/>
                <w:sz w:val="24"/>
                <w:szCs w:val="24"/>
              </w:rPr>
              <w:t>50 mm</w:t>
            </w:r>
            <w:r>
              <w:rPr>
                <w:color w:val="000000"/>
                <w:spacing w:val="-2"/>
                <w:sz w:val="24"/>
                <w:szCs w:val="24"/>
                <w:vertAlign w:val="superscript"/>
              </w:rPr>
              <w:t>2</w:t>
            </w:r>
            <w:r>
              <w:rPr>
                <w:color w:val="000000"/>
                <w:spacing w:val="-2"/>
                <w:sz w:val="24"/>
                <w:szCs w:val="24"/>
              </w:rPr>
              <w:t>. Wymagania i badania.</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lang w:val="de-DE"/>
              </w:rPr>
              <w:t>PN-E-93207:1998/ Az1:1999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Sprzęt elektroinstalacyjny. Odgałęźniki instalacyjne i płytki odga</w:t>
            </w:r>
            <w:r>
              <w:rPr>
                <w:color w:val="000000"/>
                <w:spacing w:val="6"/>
                <w:sz w:val="24"/>
                <w:szCs w:val="24"/>
              </w:rPr>
              <w:t xml:space="preserve">łęźne na napięcie do 750 V do przewodów o przekrojach do </w:t>
            </w:r>
            <w:r>
              <w:rPr>
                <w:color w:val="000000"/>
                <w:spacing w:val="-1"/>
                <w:sz w:val="24"/>
                <w:szCs w:val="24"/>
              </w:rPr>
              <w:t>50 mm</w:t>
            </w:r>
            <w:r>
              <w:rPr>
                <w:color w:val="000000"/>
                <w:spacing w:val="-1"/>
                <w:sz w:val="24"/>
                <w:szCs w:val="24"/>
                <w:vertAlign w:val="superscript"/>
              </w:rPr>
              <w:t>2</w:t>
            </w:r>
            <w:r>
              <w:rPr>
                <w:color w:val="000000"/>
                <w:spacing w:val="-1"/>
                <w:sz w:val="24"/>
                <w:szCs w:val="24"/>
              </w:rPr>
              <w:t>. Wymagania i badania (Zmiana Az1).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PN-E-93210:1998</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 xml:space="preserve">Sprzęt elektroinstalacyjny. Automaty schodowe na znamionowe </w:t>
            </w:r>
            <w:r>
              <w:rPr>
                <w:color w:val="000000"/>
                <w:sz w:val="24"/>
                <w:szCs w:val="24"/>
              </w:rPr>
              <w:t xml:space="preserve">napięcie robocze 220 V i 230 V i prądy znamionowe do 25 A. </w:t>
            </w:r>
            <w:r>
              <w:rPr>
                <w:color w:val="000000"/>
                <w:spacing w:val="-1"/>
                <w:sz w:val="24"/>
                <w:szCs w:val="24"/>
              </w:rPr>
              <w:t>Wymagania i badania.</w:t>
            </w:r>
          </w:p>
        </w:tc>
      </w:tr>
    </w:tbl>
    <w:p>
      <w:pPr>
        <w:pStyle w:val="Normal"/>
        <w:shd w:val="clear" w:color="auto" w:fill="FFFFFF"/>
        <w:ind w:hanging="2257" w:start="426" w:end="423"/>
        <w:rPr>
          <w:sz w:val="24"/>
          <w:szCs w:val="24"/>
        </w:rPr>
      </w:pPr>
      <w:r>
        <w:rPr>
          <w:sz w:val="24"/>
          <w:szCs w:val="24"/>
        </w:rPr>
      </w:r>
    </w:p>
    <w:p>
      <w:pPr>
        <w:pStyle w:val="Heading2"/>
        <w:numPr>
          <w:ilvl w:val="1"/>
          <w:numId w:val="13"/>
        </w:numPr>
        <w:ind w:hanging="432" w:start="426" w:end="423"/>
        <w:rPr>
          <w:rFonts w:ascii="Arial" w:hAnsi="Arial" w:cs="Arial"/>
          <w:sz w:val="24"/>
          <w:szCs w:val="24"/>
        </w:rPr>
      </w:pPr>
      <w:bookmarkStart w:id="314" w:name="_Toc215176972"/>
      <w:bookmarkStart w:id="315" w:name="_Toc535218283"/>
      <w:bookmarkEnd w:id="315"/>
      <w:r>
        <w:rPr>
          <w:rFonts w:cs="Arial" w:ascii="Arial" w:hAnsi="Arial"/>
          <w:sz w:val="24"/>
          <w:szCs w:val="24"/>
        </w:rPr>
        <w:t>Ustawy</w:t>
      </w:r>
      <w:bookmarkEnd w:id="314"/>
    </w:p>
    <w:p>
      <w:pPr>
        <w:pStyle w:val="Normal"/>
        <w:numPr>
          <w:ilvl w:val="0"/>
          <w:numId w:val="8"/>
        </w:numPr>
        <w:shd w:val="clear" w:color="auto" w:fill="FFFFFF"/>
        <w:ind w:hanging="295" w:start="426" w:end="423"/>
        <w:rPr>
          <w:sz w:val="24"/>
          <w:szCs w:val="24"/>
        </w:rPr>
      </w:pPr>
      <w:r>
        <w:rPr>
          <w:color w:val="000000"/>
          <w:spacing w:val="4"/>
          <w:sz w:val="24"/>
          <w:szCs w:val="24"/>
        </w:rPr>
        <w:t xml:space="preserve">Ustawa z dnia 16 kwietnia 2004 r. o wyrobach budowlanych (Dz. U. z 2004 r. Nr 92, </w:t>
      </w:r>
      <w:r>
        <w:rPr>
          <w:color w:val="000000"/>
          <w:spacing w:val="-2"/>
          <w:sz w:val="24"/>
          <w:szCs w:val="24"/>
        </w:rPr>
        <w:t>poz. 881).</w:t>
      </w:r>
    </w:p>
    <w:p>
      <w:pPr>
        <w:pStyle w:val="Normal"/>
        <w:numPr>
          <w:ilvl w:val="0"/>
          <w:numId w:val="8"/>
        </w:numPr>
        <w:shd w:val="clear" w:color="auto" w:fill="FFFFFF"/>
        <w:ind w:hanging="295" w:start="426" w:end="423"/>
        <w:rPr>
          <w:sz w:val="24"/>
          <w:szCs w:val="24"/>
        </w:rPr>
      </w:pPr>
      <w:r>
        <w:rPr>
          <w:color w:val="000000"/>
          <w:spacing w:val="5"/>
          <w:sz w:val="24"/>
          <w:szCs w:val="24"/>
        </w:rPr>
        <w:t xml:space="preserve">Ustawa z dnia 7 lipca 1994 r. Prawo budowlane (Dz. U. z 2003 r. Nr 207, poz. 2016 </w:t>
      </w:r>
      <w:r>
        <w:rPr>
          <w:color w:val="000000"/>
          <w:spacing w:val="-1"/>
          <w:sz w:val="24"/>
          <w:szCs w:val="24"/>
        </w:rPr>
        <w:t>z późn. zmianami).</w:t>
      </w:r>
    </w:p>
    <w:p>
      <w:pPr>
        <w:pStyle w:val="Heading2"/>
        <w:numPr>
          <w:ilvl w:val="1"/>
          <w:numId w:val="13"/>
        </w:numPr>
        <w:ind w:hanging="432" w:start="426" w:end="423"/>
        <w:rPr>
          <w:rFonts w:ascii="Arial" w:hAnsi="Arial" w:cs="Arial"/>
          <w:sz w:val="24"/>
          <w:szCs w:val="24"/>
        </w:rPr>
      </w:pPr>
      <w:bookmarkStart w:id="316" w:name="_Toc215176973"/>
      <w:bookmarkStart w:id="317" w:name="_Toc535218284"/>
      <w:bookmarkEnd w:id="317"/>
      <w:r>
        <w:rPr>
          <w:rFonts w:cs="Arial" w:ascii="Arial" w:hAnsi="Arial"/>
          <w:sz w:val="24"/>
          <w:szCs w:val="24"/>
        </w:rPr>
        <w:t>Rozporządzenia</w:t>
      </w:r>
      <w:bookmarkEnd w:id="316"/>
    </w:p>
    <w:p>
      <w:pPr>
        <w:pStyle w:val="Normal"/>
        <w:numPr>
          <w:ilvl w:val="0"/>
          <w:numId w:val="8"/>
        </w:numPr>
        <w:shd w:val="clear" w:color="auto" w:fill="FFFFFF"/>
        <w:ind w:hanging="295" w:start="426" w:end="423"/>
        <w:rPr>
          <w:sz w:val="24"/>
          <w:szCs w:val="24"/>
        </w:rPr>
      </w:pPr>
      <w:r>
        <w:rPr>
          <w:color w:val="000000"/>
          <w:spacing w:val="2"/>
          <w:sz w:val="24"/>
          <w:szCs w:val="24"/>
        </w:rPr>
        <w:t xml:space="preserve">Rozporządzenie Ministra Infrastruktury z dnia 02.09.2004 r. w sprawie szczegółowego </w:t>
      </w:r>
      <w:r>
        <w:rPr>
          <w:color w:val="000000"/>
          <w:spacing w:val="-1"/>
          <w:sz w:val="24"/>
          <w:szCs w:val="24"/>
        </w:rPr>
        <w:t xml:space="preserve">zakresu i formy dokumentacji projektowej, specyfikacji technicznych wykonania i odbioru </w:t>
      </w:r>
      <w:r>
        <w:rPr>
          <w:color w:val="000000"/>
          <w:spacing w:val="2"/>
          <w:sz w:val="24"/>
          <w:szCs w:val="24"/>
        </w:rPr>
        <w:t xml:space="preserve">robót budowlanych oraz programu funkcjonalno-użytkowego {Dz. U. z 2004 r. Nr 202, </w:t>
      </w:r>
      <w:r>
        <w:rPr>
          <w:color w:val="000000"/>
          <w:sz w:val="24"/>
          <w:szCs w:val="24"/>
        </w:rPr>
        <w:t>poz. 2072, zmiana Dz. U. z 2005 r. Nr 75, poz. 664).</w:t>
      </w:r>
    </w:p>
    <w:p>
      <w:pPr>
        <w:pStyle w:val="Normal"/>
        <w:numPr>
          <w:ilvl w:val="0"/>
          <w:numId w:val="8"/>
        </w:numPr>
        <w:shd w:val="clear" w:color="auto" w:fill="FFFFFF"/>
        <w:ind w:hanging="295" w:start="426" w:end="423"/>
        <w:rPr>
          <w:sz w:val="24"/>
          <w:szCs w:val="24"/>
        </w:rPr>
      </w:pPr>
      <w:r>
        <w:rPr>
          <w:color w:val="000000"/>
          <w:spacing w:val="1"/>
          <w:sz w:val="24"/>
          <w:szCs w:val="24"/>
        </w:rPr>
        <w:t>Rozporządzenie Ministra infrastruktury z dnia 26.06.2002 r. w sprawie dziennika budo</w:t>
      </w:r>
      <w:r>
        <w:rPr>
          <w:color w:val="000000"/>
          <w:sz w:val="24"/>
          <w:szCs w:val="24"/>
        </w:rPr>
        <w:t>wy, montażu i rozbiórki, tablicy informacyjnej oraz ogłoszenia zawierającego dane dotyczące bezpieczeństwa pracy i ochrony zdrowia (Dz. U. z 2002 r. Nr 108, poz. 953 z póź</w:t>
      </w:r>
      <w:r>
        <w:rPr>
          <w:color w:val="000000"/>
          <w:spacing w:val="-1"/>
          <w:sz w:val="24"/>
          <w:szCs w:val="24"/>
        </w:rPr>
        <w:t>niejszymi zmianami).</w:t>
      </w:r>
    </w:p>
    <w:p>
      <w:pPr>
        <w:pStyle w:val="Normal"/>
        <w:numPr>
          <w:ilvl w:val="0"/>
          <w:numId w:val="8"/>
        </w:numPr>
        <w:shd w:val="clear" w:color="auto" w:fill="FFFFFF"/>
        <w:ind w:hanging="295" w:start="426" w:end="423"/>
        <w:rPr>
          <w:sz w:val="24"/>
          <w:szCs w:val="24"/>
        </w:rPr>
      </w:pPr>
      <w:r>
        <w:rPr>
          <w:color w:val="000000"/>
          <w:spacing w:val="2"/>
          <w:sz w:val="24"/>
          <w:szCs w:val="24"/>
        </w:rPr>
        <w:t xml:space="preserve">Rozporządzenie Ministra Infrastruktury z dnia 11 sierpnia 2004 r. w sprawie sposobów </w:t>
      </w:r>
      <w:r>
        <w:rPr>
          <w:color w:val="000000"/>
          <w:spacing w:val="1"/>
          <w:sz w:val="24"/>
          <w:szCs w:val="24"/>
        </w:rPr>
        <w:t xml:space="preserve">deklarowania zgodności wyrobów budowlanych oraz sposobu znakowania ich znakiem </w:t>
      </w:r>
      <w:r>
        <w:rPr>
          <w:color w:val="000000"/>
          <w:sz w:val="24"/>
          <w:szCs w:val="24"/>
        </w:rPr>
        <w:t>budowlanym (Dz. U. z 2004 r. Nr 198, poz. 2041).</w:t>
      </w:r>
    </w:p>
    <w:p>
      <w:pPr>
        <w:pStyle w:val="Normal"/>
        <w:numPr>
          <w:ilvl w:val="0"/>
          <w:numId w:val="8"/>
        </w:numPr>
        <w:shd w:val="clear" w:color="auto" w:fill="FFFFFF"/>
        <w:ind w:hanging="295" w:start="426" w:end="423"/>
        <w:rPr>
          <w:sz w:val="24"/>
          <w:szCs w:val="24"/>
        </w:rPr>
      </w:pPr>
      <w:r>
        <w:rPr>
          <w:color w:val="000000"/>
          <w:sz w:val="24"/>
          <w:szCs w:val="24"/>
        </w:rPr>
        <w:t xml:space="preserve">Rozporządzenie Ministra Infrastruktury z 11 sierpnia 2004 r. w sprawie systemów oceny </w:t>
      </w:r>
      <w:r>
        <w:rPr>
          <w:color w:val="000000"/>
          <w:spacing w:val="4"/>
          <w:sz w:val="24"/>
          <w:szCs w:val="24"/>
        </w:rPr>
        <w:t xml:space="preserve">zgodności, wymagań, jakie powinny spełniać notyfikowane jednostki  uczestniczące </w:t>
      </w:r>
      <w:r>
        <w:rPr>
          <w:color w:val="000000"/>
          <w:spacing w:val="1"/>
          <w:sz w:val="24"/>
          <w:szCs w:val="24"/>
        </w:rPr>
        <w:t xml:space="preserve">w ocenie zgodności oraz sposobu oznaczenia wyrobów budowlanych oznakowania CE </w:t>
      </w:r>
      <w:r>
        <w:rPr>
          <w:color w:val="000000"/>
          <w:spacing w:val="-1"/>
          <w:sz w:val="24"/>
          <w:szCs w:val="24"/>
        </w:rPr>
        <w:t>(Dz. U. Nr 195, poz. 2011).</w:t>
      </w:r>
    </w:p>
    <w:p>
      <w:pPr>
        <w:pStyle w:val="Heading2"/>
        <w:numPr>
          <w:ilvl w:val="1"/>
          <w:numId w:val="13"/>
        </w:numPr>
        <w:ind w:hanging="432" w:start="426" w:end="423"/>
        <w:rPr>
          <w:rFonts w:ascii="Arial" w:hAnsi="Arial" w:cs="Arial"/>
          <w:sz w:val="24"/>
          <w:szCs w:val="24"/>
        </w:rPr>
      </w:pPr>
      <w:bookmarkStart w:id="318" w:name="_Toc215176974"/>
      <w:bookmarkStart w:id="319" w:name="_Toc535218285"/>
      <w:bookmarkEnd w:id="319"/>
      <w:r>
        <w:rPr>
          <w:rFonts w:cs="Arial" w:ascii="Arial" w:hAnsi="Arial"/>
          <w:sz w:val="24"/>
          <w:szCs w:val="24"/>
        </w:rPr>
        <w:t>Inne dokumenty i instrukcje</w:t>
      </w:r>
      <w:bookmarkEnd w:id="318"/>
    </w:p>
    <w:p>
      <w:pPr>
        <w:pStyle w:val="Normal"/>
        <w:numPr>
          <w:ilvl w:val="0"/>
          <w:numId w:val="4"/>
        </w:numPr>
        <w:shd w:val="clear" w:color="auto" w:fill="FFFFFF"/>
        <w:ind w:hanging="288" w:start="426" w:end="423"/>
        <w:rPr>
          <w:sz w:val="24"/>
          <w:szCs w:val="24"/>
        </w:rPr>
      </w:pPr>
      <w:r>
        <w:rPr>
          <w:color w:val="000000"/>
          <w:sz w:val="24"/>
          <w:szCs w:val="24"/>
        </w:rPr>
        <w:t>Warunki techniczne wykonania i odbioru robót budowlano-montażowych (tom I, część 4) Arkady, Warszawa 1990 r.</w:t>
      </w:r>
    </w:p>
    <w:p>
      <w:pPr>
        <w:pStyle w:val="Normal"/>
        <w:numPr>
          <w:ilvl w:val="0"/>
          <w:numId w:val="4"/>
        </w:numPr>
        <w:shd w:val="clear" w:color="auto" w:fill="FFFFFF"/>
        <w:ind w:hanging="288" w:start="426" w:end="423"/>
        <w:rPr>
          <w:sz w:val="24"/>
          <w:szCs w:val="24"/>
        </w:rPr>
      </w:pPr>
      <w:r>
        <w:rPr>
          <w:color w:val="000000"/>
          <w:spacing w:val="1"/>
          <w:sz w:val="24"/>
          <w:szCs w:val="24"/>
        </w:rPr>
        <w:t>Warunki techniczne wykonania i odbioru robót budowlanych ITB część D: Roboty insta</w:t>
      </w:r>
      <w:r>
        <w:rPr>
          <w:color w:val="000000"/>
          <w:spacing w:val="2"/>
          <w:sz w:val="24"/>
          <w:szCs w:val="24"/>
        </w:rPr>
        <w:t xml:space="preserve">lacyjne. Zeszyt 1: Instalacje elektryczne i piorunochronne w budynkach mieszkalnych. </w:t>
      </w:r>
      <w:r>
        <w:rPr>
          <w:color w:val="000000"/>
          <w:sz w:val="24"/>
          <w:szCs w:val="24"/>
        </w:rPr>
        <w:t>Warszawa 2003 r.</w:t>
      </w:r>
    </w:p>
    <w:p>
      <w:pPr>
        <w:pStyle w:val="Normal"/>
        <w:numPr>
          <w:ilvl w:val="0"/>
          <w:numId w:val="0"/>
        </w:numPr>
        <w:shd w:val="clear" w:color="auto" w:fill="FFFFFF"/>
        <w:ind w:hanging="0" w:start="426" w:end="423"/>
        <w:rPr>
          <w:sz w:val="24"/>
          <w:szCs w:val="24"/>
        </w:rPr>
      </w:pPr>
      <w:r>
        <w:rPr>
          <w:sz w:val="24"/>
          <w:szCs w:val="24"/>
        </w:rPr>
      </w:r>
    </w:p>
    <w:p>
      <w:pPr>
        <w:pStyle w:val="Normal"/>
        <w:numPr>
          <w:ilvl w:val="0"/>
          <w:numId w:val="4"/>
        </w:numPr>
        <w:shd w:val="clear" w:color="auto" w:fill="FFFFFF"/>
        <w:ind w:hanging="288" w:start="426" w:end="423"/>
        <w:rPr>
          <w:sz w:val="24"/>
          <w:szCs w:val="24"/>
        </w:rPr>
      </w:pPr>
      <w:r>
        <w:rPr>
          <w:color w:val="000000"/>
          <w:spacing w:val="1"/>
          <w:sz w:val="24"/>
          <w:szCs w:val="24"/>
        </w:rPr>
        <w:t>Warunki techniczne wykonania i odbioru robót budowlanych ITB część D: Roboty insta</w:t>
      </w:r>
      <w:r>
        <w:rPr>
          <w:color w:val="000000"/>
          <w:spacing w:val="-1"/>
          <w:sz w:val="24"/>
          <w:szCs w:val="24"/>
        </w:rPr>
        <w:t>lacyjne. Zeszyt 2: Instalacje elektryczne i piorunochronne w budynkach użyteczności pu</w:t>
      </w:r>
      <w:r>
        <w:rPr>
          <w:color w:val="000000"/>
          <w:sz w:val="24"/>
          <w:szCs w:val="24"/>
        </w:rPr>
        <w:t>blicznej. Warszawa 2004 r.</w:t>
      </w:r>
    </w:p>
    <w:p>
      <w:pPr>
        <w:pStyle w:val="Normal"/>
        <w:numPr>
          <w:ilvl w:val="0"/>
          <w:numId w:val="4"/>
        </w:numPr>
        <w:shd w:val="clear" w:color="auto" w:fill="FFFFFF"/>
        <w:ind w:hanging="288" w:start="426" w:end="423"/>
        <w:rPr>
          <w:sz w:val="24"/>
          <w:szCs w:val="24"/>
        </w:rPr>
      </w:pPr>
      <w:r>
        <w:rPr>
          <w:color w:val="000000"/>
          <w:spacing w:val="2"/>
          <w:sz w:val="24"/>
          <w:szCs w:val="24"/>
        </w:rPr>
        <w:t xml:space="preserve">Specyfikacja techniczna wykonania i odbioru robót budowlanych. Wymagania ogólne. </w:t>
      </w:r>
      <w:r>
        <w:rPr>
          <w:color w:val="000000"/>
          <w:sz w:val="24"/>
          <w:szCs w:val="24"/>
        </w:rPr>
        <w:t>Kod CPV 45000000-7. Wydanie II, OWEOB Promocja - 2005 r.</w:t>
      </w:r>
    </w:p>
    <w:p>
      <w:pPr>
        <w:pStyle w:val="Normal"/>
        <w:numPr>
          <w:ilvl w:val="0"/>
          <w:numId w:val="4"/>
        </w:numPr>
        <w:shd w:val="clear" w:color="auto" w:fill="FFFFFF"/>
        <w:ind w:start="426" w:end="423"/>
        <w:rPr>
          <w:sz w:val="24"/>
          <w:szCs w:val="24"/>
        </w:rPr>
      </w:pPr>
      <w:r>
        <w:rPr>
          <w:color w:val="000000"/>
          <w:sz w:val="24"/>
          <w:szCs w:val="24"/>
        </w:rPr>
        <w:t>Poradnik montera elektryka WNT Warszawa 1997 r.</w:t>
      </w:r>
    </w:p>
    <w:p>
      <w:pPr>
        <w:pStyle w:val="Normal"/>
        <w:ind w:start="426" w:end="423"/>
        <w:rPr/>
      </w:pPr>
      <w:r>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814" w:right="1020" w:gutter="0" w:header="567" w:top="1985" w:footer="567" w:bottom="1985"/>
      <w:pgNumType w:start="1" w:fmt="decimal"/>
      <w:formProt w:val="false"/>
      <w:textDirection w:val="lrTb"/>
      <w:docGrid w:type="default" w:linePitch="272" w:charSpace="2457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Arial">
    <w:charset w:val="ee" w:characterSet="windows-1250"/>
    <w:family w:val="roman"/>
    <w:pitch w:val="variable"/>
  </w:font>
  <w:font w:name="Cambria">
    <w:charset w:val="ee" w:characterSet="windows-1250"/>
    <w:family w:val="roman"/>
    <w:pitch w:val="variable"/>
  </w:font>
  <w:font w:name="Times New Roman">
    <w:charset w:val="ee" w:characterSet="windows-1250"/>
    <w:family w:val="roman"/>
    <w:pitch w:val="variable"/>
  </w:font>
  <w:font w:name="Tahoma">
    <w:charset w:val="ee" w:characterSet="windows-1250"/>
    <w:family w:val="roman"/>
    <w:pitch w:val="variable"/>
  </w:font>
  <w:font w:name="Verdana">
    <w:charset w:val="ee" w:characterSet="windows-1250"/>
    <w:family w:val="roman"/>
    <w:pitch w:val="variable"/>
  </w:font>
  <w:font w:name="Symbol">
    <w:charset w:val="ee" w:characterSet="windows-1250"/>
    <w:family w:val="roman"/>
    <w:pitch w:val="variable"/>
  </w:font>
  <w:font w:name="Courier New">
    <w:charset w:val="ee" w:characterSet="windows-1250"/>
    <w:family w:val="roman"/>
    <w:pitch w:val="variable"/>
  </w:font>
  <w:font w:name="Wingdings">
    <w:charset w:val="ee" w:characterSet="windows-1250"/>
    <w:family w:val="roman"/>
    <w:pitch w:val="variable"/>
  </w:font>
  <w:font w:name="Liberation Sans">
    <w:altName w:val="Arial"/>
    <w:charset w:val="ee" w:characterSet="windows-1250"/>
    <w:family w:val="roman"/>
    <w:pitch w:val="variable"/>
  </w:font>
  <w:font w:name="Arial Unicode MS">
    <w:charset w:val="ee" w:characterSet="windows-1250"/>
    <w:family w:val="roman"/>
    <w:pitch w:val="variable"/>
  </w:font>
  <w:font w:name="Bahnschrift Light Condensed">
    <w:charset w:val="ee" w:characterSet="windows-125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43868895"/>
    </w:sdtPr>
    <w:sdtContent>
      <w:p>
        <w:pPr>
          <w:pStyle w:val="Footer"/>
          <w:jc w:val="end"/>
          <w:rPr/>
        </w:pPr>
        <w:r>
          <w:rPr/>
          <w:fldChar w:fldCharType="begin"/>
        </w:r>
        <w:r>
          <w:rPr/>
          <w:instrText xml:space="preserve"> PAGE </w:instrText>
        </w:r>
        <w:r>
          <w:rPr/>
          <w:fldChar w:fldCharType="separate"/>
        </w:r>
        <w:r>
          <w:rPr/>
          <w:t>1</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43868895"/>
    </w:sdtPr>
    <w:sdtContent>
      <w:p>
        <w:pPr>
          <w:pStyle w:val="Footer"/>
          <w:jc w:val="end"/>
          <w:rPr/>
        </w:pPr>
        <w:r>
          <w:rPr/>
          <w:fldChar w:fldCharType="begin"/>
        </w:r>
        <w:r>
          <w:rPr/>
          <w:instrText xml:space="preserve"> PAGE </w:instrText>
        </w:r>
        <w:r>
          <w:rPr/>
          <w:fldChar w:fldCharType="separate"/>
        </w:r>
        <w:r>
          <w:rPr/>
          <w:t>1</w:t>
        </w:r>
        <w:r>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Bahnschrift Light Condensed" w:hAnsi="Bahnschrift Light Condensed" w:cs="Bahnschrift Light Condensed"/>
        <w:b/>
        <w:bCs/>
        <w:color w:val="000000"/>
        <w:sz w:val="22"/>
        <w:szCs w:val="22"/>
        <w:u w:val="single"/>
      </w:rPr>
    </w:pPr>
    <w:r>
      <w:rPr>
        <w:rFonts w:cs="Bahnschrift Light Condensed" w:ascii="Bahnschrift Light Condensed" w:hAnsi="Bahnschrift Light Condensed"/>
        <w:b/>
        <w:bCs/>
        <w:color w:val="000000"/>
        <w:sz w:val="22"/>
        <w:szCs w:val="22"/>
        <w:u w:val="single"/>
      </w:rPr>
      <w:t>Dokumentacja realizowana w ramach projektu: „Modernizacja pracowni warsztatowych do potrzeb zdobycia kwalifikacji branżowych na nowoczesnym rynku pracy mechanizacji rolnictwa” (Budynek-C)</w:t>
    </w:r>
  </w:p>
  <w:p>
    <w:pPr>
      <w:pStyle w:val="Normal"/>
      <w:spacing w:lineRule="atLeast" w:line="30"/>
      <w:jc w:val="center"/>
      <w:rPr>
        <w:sz w:val="22"/>
        <w:szCs w:val="22"/>
      </w:rPr>
    </w:pPr>
    <w:r>
      <w:rPr>
        <w:rFonts w:cs="Bahnschrift Light Condensed" w:ascii="Bahnschrift Light Condensed" w:hAnsi="Bahnschrift Light Condensed"/>
        <w:color w:val="666666"/>
        <w:sz w:val="22"/>
        <w:szCs w:val="22"/>
      </w:rPr>
      <w:t xml:space="preserve">Wykonawca opracowania: </w:t>
    </w:r>
    <w:r>
      <w:rPr>
        <w:rFonts w:cs="Bahnschrift Light Condensed" w:ascii="Bahnschrift Light Condensed" w:hAnsi="Bahnschrift Light Condensed"/>
        <w:b/>
        <w:bCs/>
        <w:color w:val="666666"/>
        <w:sz w:val="22"/>
        <w:szCs w:val="22"/>
      </w:rPr>
      <w:t xml:space="preserve"> SPPH </w:t>
    </w:r>
    <w:r>
      <w:rPr>
        <w:rFonts w:cs="Bahnschrift Light Condensed" w:ascii="Bahnschrift Light Condensed" w:hAnsi="Bahnschrift Light Condensed"/>
        <w:color w:val="666666"/>
        <w:sz w:val="22"/>
        <w:szCs w:val="22"/>
      </w:rPr>
      <w:t xml:space="preserve"> „</w:t>
    </w:r>
    <w:r>
      <w:rPr>
        <w:rFonts w:cs="Bahnschrift Light Condensed" w:ascii="Bahnschrift Light Condensed" w:hAnsi="Bahnschrift Light Condensed"/>
        <w:b/>
        <w:bCs/>
        <w:color w:val="666666"/>
        <w:sz w:val="22"/>
        <w:szCs w:val="22"/>
      </w:rPr>
      <w:t>FEST</w:t>
    </w:r>
    <w:r>
      <w:rPr>
        <w:rFonts w:cs="Bahnschrift Light Condensed" w:ascii="Bahnschrift Light Condensed" w:hAnsi="Bahnschrift Light Condensed"/>
        <w:color w:val="666666"/>
        <w:sz w:val="22"/>
        <w:szCs w:val="22"/>
      </w:rPr>
      <w:t>”</w:t>
    </w:r>
    <w:r>
      <w:rPr>
        <w:rFonts w:cs="Bahnschrift Light Condensed" w:ascii="Bahnschrift Light Condensed" w:hAnsi="Bahnschrift Light Condensed"/>
        <w:b/>
        <w:bCs/>
        <w:color w:val="666666"/>
        <w:sz w:val="22"/>
        <w:szCs w:val="22"/>
      </w:rPr>
      <w:t xml:space="preserve"> </w:t>
    </w:r>
    <w:r>
      <w:rPr>
        <w:rFonts w:cs="Bahnschrift Light Condensed" w:ascii="Bahnschrift Light Condensed" w:hAnsi="Bahnschrift Light Condensed"/>
        <w:color w:val="666666"/>
        <w:sz w:val="22"/>
        <w:szCs w:val="22"/>
      </w:rPr>
      <w:t xml:space="preserve"> - ul. Baczyńskiego 31,  99-400  Łowicz</w:t>
    </w:r>
  </w:p>
  <w:p>
    <w:pPr>
      <w:pStyle w:val="Normal"/>
      <w:spacing w:lineRule="atLeast" w:line="30"/>
      <w:jc w:val="center"/>
      <w:rPr>
        <w:rFonts w:ascii="Bahnschrift Light Condensed" w:hAnsi="Bahnschrift Light Condensed" w:cs="Bahnschrift Light Condensed"/>
        <w:color w:val="666666"/>
        <w:sz w:val="22"/>
        <w:szCs w:val="22"/>
        <w:u w:val="single"/>
      </w:rPr>
    </w:pPr>
    <w:r>
      <w:rPr>
        <w:rFonts w:cs="Bahnschrift Light Condensed" w:ascii="Bahnschrift Light Condensed" w:hAnsi="Bahnschrift Light Condensed"/>
        <w:color w:val="666666"/>
        <w:sz w:val="22"/>
        <w:szCs w:val="22"/>
        <w:u w:val="single"/>
      </w:rPr>
      <w:t xml:space="preserve"> </w:t>
    </w:r>
    <w:r>
      <w:rPr>
        <w:rFonts w:cs="Bahnschrift Light Condensed" w:ascii="Bahnschrift Light Condensed" w:hAnsi="Bahnschrift Light Condensed"/>
        <w:color w:val="666666"/>
        <w:sz w:val="22"/>
        <w:szCs w:val="22"/>
        <w:u w:val="single"/>
      </w:rPr>
      <w:t xml:space="preserve">kontakt - mgr inż. arch. Łukasz Wojtysiak, tel:  606 632 999, e-mail: wokasz@wp.pl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Bahnschrift Light Condensed" w:hAnsi="Bahnschrift Light Condensed" w:cs="Bahnschrift Light Condensed"/>
        <w:b/>
        <w:bCs/>
        <w:color w:val="000000"/>
        <w:sz w:val="22"/>
        <w:szCs w:val="22"/>
        <w:u w:val="single"/>
      </w:rPr>
    </w:pPr>
    <w:r>
      <w:rPr>
        <w:rFonts w:cs="Bahnschrift Light Condensed" w:ascii="Bahnschrift Light Condensed" w:hAnsi="Bahnschrift Light Condensed"/>
        <w:b/>
        <w:bCs/>
        <w:color w:val="000000"/>
        <w:sz w:val="22"/>
        <w:szCs w:val="22"/>
        <w:u w:val="single"/>
      </w:rPr>
      <w:t>Dokumentacja realizowana w ramach projektu: „Modernizacja pracowni warsztatowych do potrzeb zdobycia kwalifikacji branżowych na nowoczesnym rynku pracy mechanizacji rolnictwa” (Budynek-C)</w:t>
    </w:r>
  </w:p>
  <w:p>
    <w:pPr>
      <w:pStyle w:val="Normal"/>
      <w:spacing w:lineRule="atLeast" w:line="30"/>
      <w:jc w:val="center"/>
      <w:rPr>
        <w:sz w:val="22"/>
        <w:szCs w:val="22"/>
      </w:rPr>
    </w:pPr>
    <w:r>
      <w:rPr>
        <w:rFonts w:cs="Bahnschrift Light Condensed" w:ascii="Bahnschrift Light Condensed" w:hAnsi="Bahnschrift Light Condensed"/>
        <w:color w:val="666666"/>
        <w:sz w:val="22"/>
        <w:szCs w:val="22"/>
      </w:rPr>
      <w:t xml:space="preserve">Wykonawca opracowania: </w:t>
    </w:r>
    <w:r>
      <w:rPr>
        <w:rFonts w:cs="Bahnschrift Light Condensed" w:ascii="Bahnschrift Light Condensed" w:hAnsi="Bahnschrift Light Condensed"/>
        <w:b/>
        <w:bCs/>
        <w:color w:val="666666"/>
        <w:sz w:val="22"/>
        <w:szCs w:val="22"/>
      </w:rPr>
      <w:t xml:space="preserve"> SPPH </w:t>
    </w:r>
    <w:r>
      <w:rPr>
        <w:rFonts w:cs="Bahnschrift Light Condensed" w:ascii="Bahnschrift Light Condensed" w:hAnsi="Bahnschrift Light Condensed"/>
        <w:color w:val="666666"/>
        <w:sz w:val="22"/>
        <w:szCs w:val="22"/>
      </w:rPr>
      <w:t xml:space="preserve"> „</w:t>
    </w:r>
    <w:r>
      <w:rPr>
        <w:rFonts w:cs="Bahnschrift Light Condensed" w:ascii="Bahnschrift Light Condensed" w:hAnsi="Bahnschrift Light Condensed"/>
        <w:b/>
        <w:bCs/>
        <w:color w:val="666666"/>
        <w:sz w:val="22"/>
        <w:szCs w:val="22"/>
      </w:rPr>
      <w:t>FEST</w:t>
    </w:r>
    <w:r>
      <w:rPr>
        <w:rFonts w:cs="Bahnschrift Light Condensed" w:ascii="Bahnschrift Light Condensed" w:hAnsi="Bahnschrift Light Condensed"/>
        <w:color w:val="666666"/>
        <w:sz w:val="22"/>
        <w:szCs w:val="22"/>
      </w:rPr>
      <w:t>”</w:t>
    </w:r>
    <w:r>
      <w:rPr>
        <w:rFonts w:cs="Bahnschrift Light Condensed" w:ascii="Bahnschrift Light Condensed" w:hAnsi="Bahnschrift Light Condensed"/>
        <w:b/>
        <w:bCs/>
        <w:color w:val="666666"/>
        <w:sz w:val="22"/>
        <w:szCs w:val="22"/>
      </w:rPr>
      <w:t xml:space="preserve"> </w:t>
    </w:r>
    <w:r>
      <w:rPr>
        <w:rFonts w:cs="Bahnschrift Light Condensed" w:ascii="Bahnschrift Light Condensed" w:hAnsi="Bahnschrift Light Condensed"/>
        <w:color w:val="666666"/>
        <w:sz w:val="22"/>
        <w:szCs w:val="22"/>
      </w:rPr>
      <w:t xml:space="preserve"> - ul. Baczyńskiego 31,  99-400  Łowicz</w:t>
    </w:r>
  </w:p>
  <w:p>
    <w:pPr>
      <w:pStyle w:val="Normal"/>
      <w:spacing w:lineRule="atLeast" w:line="30"/>
      <w:jc w:val="center"/>
      <w:rPr>
        <w:rFonts w:ascii="Bahnschrift Light Condensed" w:hAnsi="Bahnschrift Light Condensed" w:cs="Bahnschrift Light Condensed"/>
        <w:color w:val="666666"/>
        <w:sz w:val="22"/>
        <w:szCs w:val="22"/>
        <w:u w:val="single"/>
      </w:rPr>
    </w:pPr>
    <w:r>
      <w:rPr>
        <w:rFonts w:cs="Bahnschrift Light Condensed" w:ascii="Bahnschrift Light Condensed" w:hAnsi="Bahnschrift Light Condensed"/>
        <w:color w:val="666666"/>
        <w:sz w:val="22"/>
        <w:szCs w:val="22"/>
        <w:u w:val="single"/>
      </w:rPr>
      <w:t xml:space="preserve"> </w:t>
    </w:r>
    <w:r>
      <w:rPr>
        <w:rFonts w:cs="Bahnschrift Light Condensed" w:ascii="Bahnschrift Light Condensed" w:hAnsi="Bahnschrift Light Condensed"/>
        <w:color w:val="666666"/>
        <w:sz w:val="22"/>
        <w:szCs w:val="22"/>
        <w:u w:val="single"/>
      </w:rPr>
      <w:t xml:space="preserve">kontakt - mgr inż. arch. Łukasz Wojtysiak, tel:  606 632 999, e-mail: wokasz@wp.pl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1563" w:hanging="0"/>
      </w:pPr>
      <w:rPr>
        <w:rFonts w:ascii="Arial" w:hAnsi="Arial" w:cs="Arial" w:hint="default"/>
        <w:sz w:val="18"/>
      </w:rPr>
    </w:lvl>
    <w:lvl w:ilvl="1">
      <w:start w:val="1"/>
      <w:numFmt w:val="decimal"/>
      <w:lvlText w:val="%2."/>
      <w:lvlJc w:val="start"/>
      <w:pPr>
        <w:tabs>
          <w:tab w:val="num" w:pos="1923"/>
        </w:tabs>
        <w:ind w:start="1923" w:hanging="360"/>
      </w:pPr>
      <w:rPr/>
    </w:lvl>
    <w:lvl w:ilvl="2">
      <w:start w:val="1"/>
      <w:numFmt w:val="decimal"/>
      <w:lvlText w:val="%3."/>
      <w:lvlJc w:val="start"/>
      <w:pPr>
        <w:tabs>
          <w:tab w:val="num" w:pos="2283"/>
        </w:tabs>
        <w:ind w:start="2283" w:hanging="360"/>
      </w:pPr>
      <w:rPr/>
    </w:lvl>
    <w:lvl w:ilvl="3">
      <w:start w:val="1"/>
      <w:numFmt w:val="decimal"/>
      <w:lvlText w:val="%4."/>
      <w:lvlJc w:val="start"/>
      <w:pPr>
        <w:tabs>
          <w:tab w:val="num" w:pos="2643"/>
        </w:tabs>
        <w:ind w:start="2643" w:hanging="360"/>
      </w:pPr>
      <w:rPr/>
    </w:lvl>
    <w:lvl w:ilvl="4">
      <w:start w:val="1"/>
      <w:numFmt w:val="decimal"/>
      <w:lvlText w:val="%5."/>
      <w:lvlJc w:val="start"/>
      <w:pPr>
        <w:tabs>
          <w:tab w:val="num" w:pos="3003"/>
        </w:tabs>
        <w:ind w:start="3003" w:hanging="360"/>
      </w:pPr>
      <w:rPr/>
    </w:lvl>
    <w:lvl w:ilvl="5">
      <w:start w:val="1"/>
      <w:numFmt w:val="decimal"/>
      <w:lvlText w:val="%6."/>
      <w:lvlJc w:val="start"/>
      <w:pPr>
        <w:tabs>
          <w:tab w:val="num" w:pos="3363"/>
        </w:tabs>
        <w:ind w:start="3363" w:hanging="360"/>
      </w:pPr>
      <w:rPr/>
    </w:lvl>
    <w:lvl w:ilvl="6">
      <w:start w:val="1"/>
      <w:numFmt w:val="decimal"/>
      <w:lvlText w:val="%7."/>
      <w:lvlJc w:val="start"/>
      <w:pPr>
        <w:tabs>
          <w:tab w:val="num" w:pos="3723"/>
        </w:tabs>
        <w:ind w:start="3723" w:hanging="360"/>
      </w:pPr>
      <w:rPr/>
    </w:lvl>
    <w:lvl w:ilvl="7">
      <w:start w:val="1"/>
      <w:numFmt w:val="decimal"/>
      <w:lvlText w:val="%8."/>
      <w:lvlJc w:val="start"/>
      <w:pPr>
        <w:tabs>
          <w:tab w:val="num" w:pos="4083"/>
        </w:tabs>
        <w:ind w:start="4083" w:hanging="360"/>
      </w:pPr>
      <w:rPr/>
    </w:lvl>
    <w:lvl w:ilvl="8">
      <w:start w:val="1"/>
      <w:numFmt w:val="decimal"/>
      <w:lvlText w:val="%9."/>
      <w:lvlJc w:val="start"/>
      <w:pPr>
        <w:tabs>
          <w:tab w:val="num" w:pos="4443"/>
        </w:tabs>
        <w:ind w:start="4443" w:hanging="360"/>
      </w:pPr>
      <w:rPr/>
    </w:lvl>
  </w:abstractNum>
  <w:abstractNum w:abstractNumId="2">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8">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9">
    <w:lvl w:ilvl="0">
      <w:start w:val="1"/>
      <w:numFmt w:val="bullet"/>
      <w:lvlText w:val="-"/>
      <w:lvlJc w:val="start"/>
      <w:pPr>
        <w:tabs>
          <w:tab w:val="num" w:pos="367"/>
        </w:tabs>
        <w:ind w:start="367" w:hanging="360"/>
      </w:pPr>
      <w:rPr>
        <w:rFonts w:ascii="Arial" w:hAnsi="Arial" w:cs="Arial" w:hint="default"/>
        <w:sz w:val="18"/>
      </w:rPr>
    </w:lvl>
    <w:lvl w:ilvl="1">
      <w:start w:val="1"/>
      <w:numFmt w:val="bullet"/>
      <w:lvlText w:val="o"/>
      <w:lvlJc w:val="start"/>
      <w:pPr>
        <w:tabs>
          <w:tab w:val="num" w:pos="1087"/>
        </w:tabs>
        <w:ind w:start="1087" w:hanging="360"/>
      </w:pPr>
      <w:rPr>
        <w:rFonts w:ascii="Courier New" w:hAnsi="Courier New" w:cs="Courier New" w:hint="default"/>
      </w:rPr>
    </w:lvl>
    <w:lvl w:ilvl="2">
      <w:start w:val="1"/>
      <w:numFmt w:val="bullet"/>
      <w:lvlText w:val=""/>
      <w:lvlJc w:val="start"/>
      <w:pPr>
        <w:tabs>
          <w:tab w:val="num" w:pos="1807"/>
        </w:tabs>
        <w:ind w:start="1807" w:hanging="360"/>
      </w:pPr>
      <w:rPr>
        <w:rFonts w:ascii="Wingdings" w:hAnsi="Wingdings" w:cs="Wingdings" w:hint="default"/>
      </w:rPr>
    </w:lvl>
    <w:lvl w:ilvl="3">
      <w:start w:val="1"/>
      <w:numFmt w:val="bullet"/>
      <w:lvlText w:val=""/>
      <w:lvlJc w:val="start"/>
      <w:pPr>
        <w:tabs>
          <w:tab w:val="num" w:pos="2527"/>
        </w:tabs>
        <w:ind w:start="2527" w:hanging="360"/>
      </w:pPr>
      <w:rPr>
        <w:rFonts w:ascii="Symbol" w:hAnsi="Symbol" w:cs="Symbol" w:hint="default"/>
      </w:rPr>
    </w:lvl>
    <w:lvl w:ilvl="4">
      <w:start w:val="1"/>
      <w:numFmt w:val="bullet"/>
      <w:lvlText w:val="o"/>
      <w:lvlJc w:val="start"/>
      <w:pPr>
        <w:tabs>
          <w:tab w:val="num" w:pos="3247"/>
        </w:tabs>
        <w:ind w:start="3247" w:hanging="360"/>
      </w:pPr>
      <w:rPr>
        <w:rFonts w:ascii="Courier New" w:hAnsi="Courier New" w:cs="Courier New" w:hint="default"/>
      </w:rPr>
    </w:lvl>
    <w:lvl w:ilvl="5">
      <w:start w:val="1"/>
      <w:numFmt w:val="bullet"/>
      <w:lvlText w:val=""/>
      <w:lvlJc w:val="start"/>
      <w:pPr>
        <w:tabs>
          <w:tab w:val="num" w:pos="3967"/>
        </w:tabs>
        <w:ind w:start="3967" w:hanging="360"/>
      </w:pPr>
      <w:rPr>
        <w:rFonts w:ascii="Wingdings" w:hAnsi="Wingdings" w:cs="Wingdings" w:hint="default"/>
      </w:rPr>
    </w:lvl>
    <w:lvl w:ilvl="6">
      <w:start w:val="1"/>
      <w:numFmt w:val="bullet"/>
      <w:lvlText w:val=""/>
      <w:lvlJc w:val="start"/>
      <w:pPr>
        <w:tabs>
          <w:tab w:val="num" w:pos="4687"/>
        </w:tabs>
        <w:ind w:start="4687" w:hanging="360"/>
      </w:pPr>
      <w:rPr>
        <w:rFonts w:ascii="Symbol" w:hAnsi="Symbol" w:cs="Symbol" w:hint="default"/>
      </w:rPr>
    </w:lvl>
    <w:lvl w:ilvl="7">
      <w:start w:val="1"/>
      <w:numFmt w:val="bullet"/>
      <w:lvlText w:val="o"/>
      <w:lvlJc w:val="start"/>
      <w:pPr>
        <w:tabs>
          <w:tab w:val="num" w:pos="5407"/>
        </w:tabs>
        <w:ind w:start="5407" w:hanging="360"/>
      </w:pPr>
      <w:rPr>
        <w:rFonts w:ascii="Courier New" w:hAnsi="Courier New" w:cs="Courier New" w:hint="default"/>
      </w:rPr>
    </w:lvl>
    <w:lvl w:ilvl="8">
      <w:start w:val="1"/>
      <w:numFmt w:val="bullet"/>
      <w:lvlText w:val=""/>
      <w:lvlJc w:val="start"/>
      <w:pPr>
        <w:tabs>
          <w:tab w:val="num" w:pos="6127"/>
        </w:tabs>
        <w:ind w:start="6127" w:hanging="360"/>
      </w:pPr>
      <w:rPr>
        <w:rFonts w:ascii="Wingdings" w:hAnsi="Wingdings" w:cs="Wingdings" w:hint="default"/>
      </w:rPr>
    </w:lvl>
  </w:abstractNum>
  <w:abstractNum w:abstractNumId="10">
    <w:lvl w:ilvl="0">
      <w:start w:val="65535"/>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1">
    <w:lvl w:ilvl="0">
      <w:start w:val="65535"/>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2">
    <w:lvl w:ilvl="0">
      <w:start w:val="25"/>
      <w:numFmt w:val="bullet"/>
      <w:lvlText w:val="-"/>
      <w:lvlJc w:val="start"/>
      <w:pPr>
        <w:tabs>
          <w:tab w:val="num" w:pos="420"/>
        </w:tabs>
        <w:ind w:start="420" w:hanging="360"/>
      </w:pPr>
      <w:rPr>
        <w:rFonts w:ascii="OpenSymbol" w:hAnsi="OpenSymbol" w:cs="OpenSymbo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3">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14">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15">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16">
    <w:lvl w:ilvl="0">
      <w:start w:val="1"/>
      <w:numFmt w:val="bullet"/>
      <w:lvlText w:val=""/>
      <w:lvlJc w:val="start"/>
      <w:pPr>
        <w:tabs>
          <w:tab w:val="num" w:pos="0"/>
        </w:tabs>
        <w:ind w:start="720" w:hanging="360"/>
      </w:pPr>
      <w:rPr>
        <w:rFonts w:ascii="Symbol" w:hAnsi="Symbol" w:cs="Symbol" w:hint="default"/>
        <w:sz w:val="18"/>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7">
    <w:lvl w:ilvl="0">
      <w:start w:val="1"/>
      <w:numFmt w:val="bullet"/>
      <w:lvlText w:val=""/>
      <w:lvlJc w:val="start"/>
      <w:pPr>
        <w:tabs>
          <w:tab w:val="num" w:pos="720"/>
        </w:tabs>
        <w:ind w:start="720" w:hanging="360"/>
      </w:pPr>
      <w:rPr>
        <w:rFonts w:ascii="Symbol" w:hAnsi="Symbol" w:cs="Symbol" w:hint="default"/>
        <w:sz w:val="18"/>
        <w:b/>
        <w:szCs w:val="17"/>
        <w:color w:val="000000"/>
      </w:rPr>
    </w:lvl>
    <w:lvl w:ilvl="1">
      <w:start w:val="1"/>
      <w:numFmt w:val="none"/>
      <w:suff w:val="nothing"/>
      <w:lvlText w:val=""/>
      <w:lvlJc w:val="start"/>
      <w:pPr>
        <w:tabs>
          <w:tab w:val="num" w:pos="0"/>
        </w:tabs>
        <w:ind w:start="1080" w:hanging="0"/>
      </w:pPr>
      <w:rPr/>
    </w:lvl>
    <w:lvl w:ilvl="2">
      <w:start w:val="1"/>
      <w:numFmt w:val="none"/>
      <w:suff w:val="nothing"/>
      <w:lvlText w:val=""/>
      <w:lvlJc w:val="start"/>
      <w:pPr>
        <w:tabs>
          <w:tab w:val="num" w:pos="0"/>
        </w:tabs>
        <w:ind w:start="1440" w:hanging="0"/>
      </w:pPr>
      <w:rPr/>
    </w:lvl>
    <w:lvl w:ilvl="3">
      <w:start w:val="1"/>
      <w:numFmt w:val="none"/>
      <w:suff w:val="nothing"/>
      <w:lvlText w:val=""/>
      <w:lvlJc w:val="start"/>
      <w:pPr>
        <w:tabs>
          <w:tab w:val="num" w:pos="0"/>
        </w:tabs>
        <w:ind w:start="1800" w:hanging="0"/>
      </w:pPr>
      <w:rPr/>
    </w:lvl>
    <w:lvl w:ilvl="4">
      <w:start w:val="1"/>
      <w:numFmt w:val="none"/>
      <w:suff w:val="nothing"/>
      <w:lvlText w:val=""/>
      <w:lvlJc w:val="start"/>
      <w:pPr>
        <w:tabs>
          <w:tab w:val="num" w:pos="0"/>
        </w:tabs>
        <w:ind w:start="2160" w:hanging="0"/>
      </w:pPr>
      <w:rPr/>
    </w:lvl>
    <w:lvl w:ilvl="5">
      <w:start w:val="1"/>
      <w:numFmt w:val="none"/>
      <w:suff w:val="nothing"/>
      <w:lvlText w:val=""/>
      <w:lvlJc w:val="start"/>
      <w:pPr>
        <w:tabs>
          <w:tab w:val="num" w:pos="0"/>
        </w:tabs>
        <w:ind w:start="2520" w:hanging="0"/>
      </w:pPr>
      <w:rPr/>
    </w:lvl>
    <w:lvl w:ilvl="6">
      <w:start w:val="1"/>
      <w:numFmt w:val="none"/>
      <w:suff w:val="nothing"/>
      <w:lvlText w:val=""/>
      <w:lvlJc w:val="start"/>
      <w:pPr>
        <w:tabs>
          <w:tab w:val="num" w:pos="0"/>
        </w:tabs>
        <w:ind w:start="2880" w:hanging="0"/>
      </w:pPr>
      <w:rPr/>
    </w:lvl>
    <w:lvl w:ilvl="7">
      <w:start w:val="1"/>
      <w:numFmt w:val="none"/>
      <w:suff w:val="nothing"/>
      <w:lvlText w:val=""/>
      <w:lvlJc w:val="start"/>
      <w:pPr>
        <w:tabs>
          <w:tab w:val="num" w:pos="0"/>
        </w:tabs>
        <w:ind w:start="3240" w:hanging="0"/>
      </w:pPr>
      <w:rPr/>
    </w:lvl>
    <w:lvl w:ilvl="8">
      <w:start w:val="1"/>
      <w:numFmt w:val="none"/>
      <w:suff w:val="nothing"/>
      <w:lvlText w:val=""/>
      <w:lvlJc w:val="start"/>
      <w:pPr>
        <w:tabs>
          <w:tab w:val="num" w:pos="0"/>
        </w:tabs>
        <w:ind w:start="3600" w:hanging="0"/>
      </w:pPr>
      <w:rPr/>
    </w:lvl>
  </w:abstractNum>
  <w:abstractNum w:abstractNumId="1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5409e"/>
    <w:pPr>
      <w:widowControl w:val="false"/>
      <w:suppressAutoHyphens w:val="true"/>
      <w:bidi w:val="0"/>
      <w:spacing w:before="0" w:after="0"/>
      <w:jc w:val="start"/>
    </w:pPr>
    <w:rPr>
      <w:rFonts w:ascii="Arial" w:hAnsi="Arial" w:eastAsia="Times New Roman" w:cs="Arial"/>
      <w:color w:val="auto"/>
      <w:kern w:val="0"/>
      <w:sz w:val="20"/>
      <w:szCs w:val="20"/>
      <w:lang w:val="pl-PL" w:eastAsia="pl-PL" w:bidi="ar-SA"/>
    </w:rPr>
  </w:style>
  <w:style w:type="paragraph" w:styleId="Heading1">
    <w:name w:val="Heading 1"/>
    <w:basedOn w:val="Normal"/>
    <w:link w:val="Nagwek1Znak"/>
    <w:uiPriority w:val="9"/>
    <w:qFormat/>
    <w:rsid w:val="002f490d"/>
    <w:pPr>
      <w:keepNext w:val="true"/>
      <w:keepLines/>
      <w:spacing w:before="240" w:after="0"/>
      <w:outlineLvl w:val="0"/>
    </w:pPr>
    <w:rPr>
      <w:rFonts w:ascii="Cambria" w:hAnsi="Cambria" w:eastAsia="" w:cs="" w:asciiTheme="majorHAnsi" w:cstheme="majorBidi" w:eastAsiaTheme="majorEastAsia" w:hAnsiTheme="majorHAnsi"/>
      <w:color w:themeColor="accent1" w:themeShade="bf" w:val="365F91"/>
      <w:sz w:val="32"/>
      <w:szCs w:val="32"/>
    </w:rPr>
  </w:style>
  <w:style w:type="paragraph" w:styleId="Heading2">
    <w:name w:val="Heading 2"/>
    <w:basedOn w:val="Normal"/>
    <w:link w:val="Nagwek2Znak"/>
    <w:uiPriority w:val="9"/>
    <w:unhideWhenUsed/>
    <w:qFormat/>
    <w:rsid w:val="002f490d"/>
    <w:pPr>
      <w:keepNext w:val="true"/>
      <w:keepLines/>
      <w:spacing w:before="40" w:after="0"/>
      <w:outlineLvl w:val="1"/>
    </w:pPr>
    <w:rPr>
      <w:rFonts w:ascii="Cambria" w:hAnsi="Cambria" w:eastAsia="" w:cs="" w:asciiTheme="majorHAnsi" w:cstheme="majorBidi" w:eastAsiaTheme="majorEastAsia" w:hAnsiTheme="majorHAnsi"/>
      <w:color w:themeColor="accent1" w:themeShade="bf" w:val="365F91"/>
      <w:sz w:val="26"/>
      <w:szCs w:val="26"/>
    </w:rPr>
  </w:style>
  <w:style w:type="paragraph" w:styleId="Heading3">
    <w:name w:val="Heading 3"/>
    <w:basedOn w:val="Normal"/>
    <w:link w:val="Nagwek3Znak"/>
    <w:uiPriority w:val="9"/>
    <w:unhideWhenUsed/>
    <w:qFormat/>
    <w:rsid w:val="002f490d"/>
    <w:pPr>
      <w:keepNext w:val="true"/>
      <w:keepLines/>
      <w:spacing w:before="40" w:after="0"/>
      <w:outlineLvl w:val="2"/>
    </w:pPr>
    <w:rPr>
      <w:rFonts w:ascii="Cambria" w:hAnsi="Cambria" w:eastAsia="" w:cs="" w:asciiTheme="majorHAnsi" w:cstheme="majorBidi" w:eastAsiaTheme="majorEastAsia" w:hAnsiTheme="majorHAnsi"/>
      <w:color w:themeColor="accent1" w:themeShade="7f" w:val="243F60"/>
      <w:sz w:val="24"/>
      <w:szCs w:val="24"/>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qFormat/>
    <w:rsid w:val="0055409e"/>
    <w:rPr>
      <w:rFonts w:ascii="Arial" w:hAnsi="Arial" w:eastAsia="Times New Roman" w:cs="Arial"/>
      <w:sz w:val="20"/>
      <w:szCs w:val="20"/>
      <w:lang w:eastAsia="pl-PL"/>
    </w:rPr>
  </w:style>
  <w:style w:type="character" w:styleId="Pagenumber">
    <w:name w:val="page number"/>
    <w:basedOn w:val="DefaultParagraphFont"/>
    <w:qFormat/>
    <w:rsid w:val="0055409e"/>
    <w:rPr/>
  </w:style>
  <w:style w:type="character" w:styleId="TekstpodstawowywcityZnak" w:customStyle="1">
    <w:name w:val="Tekst podstawowy wcięty Znak"/>
    <w:basedOn w:val="DefaultParagraphFont"/>
    <w:qFormat/>
    <w:rsid w:val="0055409e"/>
    <w:rPr>
      <w:rFonts w:ascii="Times New Roman" w:hAnsi="Times New Roman" w:eastAsia="Times New Roman" w:cs="Times New Roman"/>
      <w:color w:val="000000"/>
      <w:spacing w:val="-3"/>
      <w:sz w:val="20"/>
      <w:szCs w:val="18"/>
      <w:shd w:fill="FFFFFF" w:val="clear"/>
      <w:lang w:eastAsia="pl-PL"/>
    </w:rPr>
  </w:style>
  <w:style w:type="character" w:styleId="StopkaZnak" w:customStyle="1">
    <w:name w:val="Stopka Znak"/>
    <w:basedOn w:val="DefaultParagraphFont"/>
    <w:uiPriority w:val="99"/>
    <w:qFormat/>
    <w:rsid w:val="00bf4070"/>
    <w:rPr>
      <w:rFonts w:ascii="Arial" w:hAnsi="Arial" w:eastAsia="Times New Roman" w:cs="Arial"/>
      <w:sz w:val="20"/>
      <w:szCs w:val="20"/>
      <w:lang w:eastAsia="pl-PL"/>
    </w:rPr>
  </w:style>
  <w:style w:type="character" w:styleId="Tekstpodstawowy2Znak" w:customStyle="1">
    <w:name w:val="Tekst podstawowy 2 Znak"/>
    <w:basedOn w:val="DefaultParagraphFont"/>
    <w:link w:val="BodyText2"/>
    <w:uiPriority w:val="99"/>
    <w:qFormat/>
    <w:rsid w:val="00764782"/>
    <w:rPr>
      <w:rFonts w:ascii="Arial" w:hAnsi="Arial" w:eastAsia="Times New Roman" w:cs="Arial"/>
      <w:sz w:val="20"/>
      <w:szCs w:val="20"/>
      <w:lang w:eastAsia="pl-PL"/>
    </w:rPr>
  </w:style>
  <w:style w:type="character" w:styleId="TekstdymkaZnak" w:customStyle="1">
    <w:name w:val="Tekst dymka Znak"/>
    <w:basedOn w:val="DefaultParagraphFont"/>
    <w:link w:val="BalloonText"/>
    <w:uiPriority w:val="99"/>
    <w:semiHidden/>
    <w:qFormat/>
    <w:rsid w:val="004c13a7"/>
    <w:rPr>
      <w:rFonts w:ascii="Tahoma" w:hAnsi="Tahoma" w:eastAsia="Times New Roman" w:cs="Tahoma"/>
      <w:sz w:val="16"/>
      <w:szCs w:val="16"/>
      <w:lang w:eastAsia="pl-PL"/>
    </w:rPr>
  </w:style>
  <w:style w:type="character" w:styleId="BezodstpwZnak" w:customStyle="1">
    <w:name w:val="Bez odstępów Znak"/>
    <w:link w:val="NoSpacing"/>
    <w:uiPriority w:val="1"/>
    <w:qFormat/>
    <w:rsid w:val="00e81e50"/>
    <w:rPr>
      <w:rFonts w:ascii="Calibri" w:hAnsi="Calibri" w:eastAsia="Calibri" w:cs="Times New Roman"/>
    </w:rPr>
  </w:style>
  <w:style w:type="character" w:styleId="Nagwek1Znak" w:customStyle="1">
    <w:name w:val="Nagłówek 1 Znak"/>
    <w:basedOn w:val="DefaultParagraphFont"/>
    <w:uiPriority w:val="9"/>
    <w:qFormat/>
    <w:rsid w:val="002f490d"/>
    <w:rPr>
      <w:rFonts w:ascii="Cambria" w:hAnsi="Cambria" w:eastAsia="" w:cs="" w:asciiTheme="majorHAnsi" w:cstheme="majorBidi" w:eastAsiaTheme="majorEastAsia" w:hAnsiTheme="majorHAnsi"/>
      <w:color w:themeColor="accent1" w:themeShade="bf" w:val="365F91"/>
      <w:sz w:val="32"/>
      <w:szCs w:val="32"/>
      <w:lang w:eastAsia="pl-PL"/>
    </w:rPr>
  </w:style>
  <w:style w:type="character" w:styleId="Nagwek2Znak" w:customStyle="1">
    <w:name w:val="Nagłówek 2 Znak"/>
    <w:basedOn w:val="DefaultParagraphFont"/>
    <w:uiPriority w:val="9"/>
    <w:qFormat/>
    <w:rsid w:val="002f490d"/>
    <w:rPr>
      <w:rFonts w:ascii="Cambria" w:hAnsi="Cambria" w:eastAsia="" w:cs="" w:asciiTheme="majorHAnsi" w:cstheme="majorBidi" w:eastAsiaTheme="majorEastAsia" w:hAnsiTheme="majorHAnsi"/>
      <w:color w:themeColor="accent1" w:themeShade="bf" w:val="365F91"/>
      <w:sz w:val="26"/>
      <w:szCs w:val="26"/>
      <w:lang w:eastAsia="pl-PL"/>
    </w:rPr>
  </w:style>
  <w:style w:type="character" w:styleId="Nagwek3Znak" w:customStyle="1">
    <w:name w:val="Nagłówek 3 Znak"/>
    <w:basedOn w:val="DefaultParagraphFont"/>
    <w:uiPriority w:val="9"/>
    <w:qFormat/>
    <w:rsid w:val="002f490d"/>
    <w:rPr>
      <w:rFonts w:ascii="Cambria" w:hAnsi="Cambria" w:eastAsia="" w:cs="" w:asciiTheme="majorHAnsi" w:cstheme="majorBidi" w:eastAsiaTheme="majorEastAsia" w:hAnsiTheme="majorHAnsi"/>
      <w:color w:themeColor="accent1" w:themeShade="7f" w:val="243F60"/>
      <w:sz w:val="24"/>
      <w:szCs w:val="24"/>
      <w:lang w:eastAsia="pl-PL"/>
    </w:rPr>
  </w:style>
  <w:style w:type="character" w:styleId="Hyperlink">
    <w:name w:val="Hyperlink"/>
    <w:basedOn w:val="DefaultParagraphFont"/>
    <w:uiPriority w:val="99"/>
    <w:unhideWhenUsed/>
    <w:rsid w:val="00242b6f"/>
    <w:rPr>
      <w:color w:themeColor="hyperlink" w:val="0000FF"/>
      <w:u w:val="single"/>
    </w:rPr>
  </w:style>
  <w:style w:type="character" w:styleId="SpecyfikacjaSSTpodstawowyZnak" w:customStyle="1">
    <w:name w:val="Specyfikacja SST podstawowy Znak"/>
    <w:link w:val="SpecyfikacjaSSTpodstawowy"/>
    <w:qFormat/>
    <w:locked/>
    <w:rsid w:val="00bd6fd6"/>
    <w:rPr>
      <w:bCs/>
      <w:sz w:val="24"/>
      <w:szCs w:val="24"/>
    </w:rPr>
  </w:style>
  <w:style w:type="character" w:styleId="Teksttreci6" w:customStyle="1">
    <w:name w:val="Tekst treści (6)_"/>
    <w:link w:val="Teksttreci61"/>
    <w:uiPriority w:val="99"/>
    <w:qFormat/>
    <w:locked/>
    <w:rsid w:val="00971c1d"/>
    <w:rPr>
      <w:rFonts w:ascii="Arial" w:hAnsi="Arial" w:cs="Arial"/>
      <w:sz w:val="16"/>
      <w:shd w:fill="FFFFFF" w:val="clear"/>
    </w:rPr>
  </w:style>
  <w:style w:type="character" w:styleId="SpecyfikacjaSSTpodkrelenieZnak" w:customStyle="1">
    <w:name w:val="Specyfikacja SST podkreślenie Znak"/>
    <w:link w:val="SpecyfikacjaSSTpodkrelenie"/>
    <w:qFormat/>
    <w:locked/>
    <w:rsid w:val="004459c2"/>
    <w:rPr>
      <w:rFonts w:ascii="Calibri" w:hAnsi="Calibri"/>
      <w:b/>
      <w:bCs/>
      <w:sz w:val="18"/>
      <w:szCs w:val="26"/>
      <w:u w:val="single"/>
    </w:rPr>
  </w:style>
  <w:style w:type="character" w:styleId="-AKAPITZnak1" w:customStyle="1">
    <w:name w:val="- AKAPIT Znak1"/>
    <w:qFormat/>
    <w:locked/>
    <w:rsid w:val="008b5241"/>
    <w:rPr>
      <w:rFonts w:ascii="Verdana" w:hAnsi="Verdana"/>
      <w:i/>
      <w:sz w:val="16"/>
      <w:szCs w:val="16"/>
    </w:rPr>
  </w:style>
  <w:style w:type="character" w:styleId="Czeindeksu" w:customStyle="1">
    <w:name w:val="Łącze indeksu"/>
    <w:qFormat/>
    <w:rPr/>
  </w:style>
  <w:style w:type="character" w:styleId="WW8Num4z0" w:customStyle="1">
    <w:name w:val="WW8Num4z0"/>
    <w:qFormat/>
    <w:rPr>
      <w:rFonts w:ascii="Symbol" w:hAnsi="Symbol" w:cs="Symbol"/>
      <w:color w:val="000000"/>
      <w:sz w:val="18"/>
      <w:szCs w:val="17"/>
    </w:rPr>
  </w:style>
  <w:style w:type="character" w:styleId="WW8Num4z1" w:customStyle="1">
    <w:name w:val="WW8Num4z1"/>
    <w:qFormat/>
    <w:rPr>
      <w:rFonts w:ascii="Courier New" w:hAnsi="Courier New" w:cs="Courier New"/>
    </w:rPr>
  </w:style>
  <w:style w:type="character" w:styleId="WW8Num4z2" w:customStyle="1">
    <w:name w:val="WW8Num4z2"/>
    <w:qFormat/>
    <w:rPr>
      <w:rFonts w:ascii="Wingdings" w:hAnsi="Wingdings" w:cs="Wingdings"/>
    </w:rPr>
  </w:style>
  <w:style w:type="character" w:styleId="WW8Num14z3" w:customStyle="1">
    <w:name w:val="WW8Num14z3"/>
    <w:qFormat/>
    <w:rsid w:val="00c23f0e"/>
    <w:rPr/>
  </w:style>
  <w:style w:type="character" w:styleId="Strong">
    <w:name w:val="Strong"/>
    <w:qFormat/>
    <w:rPr>
      <w:b/>
      <w:bCs/>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Mangal"/>
    </w:rPr>
  </w:style>
  <w:style w:type="paragraph" w:styleId="Gwkaistopka" w:customStyle="1">
    <w:name w:val="Główka i stopka"/>
    <w:basedOn w:val="Normal"/>
    <w:qFormat/>
    <w:pPr/>
    <w:rPr/>
  </w:style>
  <w:style w:type="paragraph" w:styleId="Header">
    <w:name w:val="Header"/>
    <w:basedOn w:val="Normal"/>
    <w:next w:val="BodyText"/>
    <w:link w:val="NagwekZnak"/>
    <w:rsid w:val="0055409e"/>
    <w:pPr>
      <w:tabs>
        <w:tab w:val="clear" w:pos="708"/>
        <w:tab w:val="center" w:pos="4536" w:leader="none"/>
        <w:tab w:val="right" w:pos="9072" w:leader="none"/>
      </w:tabs>
    </w:pPr>
    <w:rPr/>
  </w:style>
  <w:style w:type="paragraph" w:styleId="Caption1">
    <w:name w:val="caption1"/>
    <w:basedOn w:val="Normal"/>
    <w:qFormat/>
    <w:pPr>
      <w:suppressLineNumbers/>
      <w:spacing w:before="120" w:after="120"/>
    </w:pPr>
    <w:rPr>
      <w:i/>
      <w:iCs/>
      <w:sz w:val="24"/>
      <w:szCs w:val="24"/>
    </w:rPr>
  </w:style>
  <w:style w:type="paragraph" w:styleId="Caption11" w:customStyle="1">
    <w:name w:val="caption11"/>
    <w:basedOn w:val="Normal"/>
    <w:qFormat/>
    <w:pPr>
      <w:suppressLineNumbers/>
      <w:spacing w:before="120" w:after="120"/>
    </w:pPr>
    <w:rPr>
      <w:rFonts w:cs="Mangal"/>
      <w:i/>
      <w:iCs/>
      <w:sz w:val="24"/>
      <w:szCs w:val="24"/>
    </w:rPr>
  </w:style>
  <w:style w:type="paragraph" w:styleId="BodyTextIndent">
    <w:name w:val="Body Text Indent"/>
    <w:basedOn w:val="Normal"/>
    <w:link w:val="TekstpodstawowywcityZnak"/>
    <w:rsid w:val="0055409e"/>
    <w:pPr>
      <w:widowControl/>
      <w:shd w:val="clear" w:color="auto" w:fill="FFFFFF"/>
      <w:spacing w:lineRule="exact" w:line="240"/>
      <w:ind w:firstLine="266" w:start="23"/>
    </w:pPr>
    <w:rPr>
      <w:rFonts w:ascii="Times New Roman" w:hAnsi="Times New Roman" w:cs="Times New Roman"/>
      <w:color w:val="000000"/>
      <w:spacing w:val="-3"/>
      <w:szCs w:val="18"/>
    </w:rPr>
  </w:style>
  <w:style w:type="paragraph" w:styleId="Footer">
    <w:name w:val="Footer"/>
    <w:basedOn w:val="Normal"/>
    <w:link w:val="StopkaZnak"/>
    <w:uiPriority w:val="99"/>
    <w:unhideWhenUsed/>
    <w:rsid w:val="00bf4070"/>
    <w:pPr>
      <w:tabs>
        <w:tab w:val="clear" w:pos="708"/>
        <w:tab w:val="center" w:pos="4536" w:leader="none"/>
        <w:tab w:val="right" w:pos="9072" w:leader="none"/>
      </w:tabs>
    </w:pPr>
    <w:rPr/>
  </w:style>
  <w:style w:type="paragraph" w:styleId="BodyText2">
    <w:name w:val="Body Text 2"/>
    <w:basedOn w:val="Normal"/>
    <w:link w:val="Tekstpodstawowy2Znak"/>
    <w:uiPriority w:val="99"/>
    <w:unhideWhenUsed/>
    <w:qFormat/>
    <w:rsid w:val="00764782"/>
    <w:pPr>
      <w:spacing w:lineRule="auto" w:line="480" w:before="0" w:after="120"/>
    </w:pPr>
    <w:rPr/>
  </w:style>
  <w:style w:type="paragraph" w:styleId="NoSpacing">
    <w:name w:val="No Spacing"/>
    <w:link w:val="BezodstpwZnak"/>
    <w:uiPriority w:val="1"/>
    <w:qFormat/>
    <w:rsid w:val="00301079"/>
    <w:pPr>
      <w:widowControl/>
      <w:suppressAutoHyphens w:val="true"/>
      <w:bidi w:val="0"/>
      <w:spacing w:before="0" w:after="0"/>
      <w:jc w:val="start"/>
      <w:textAlignment w:val="baseline"/>
    </w:pPr>
    <w:rPr>
      <w:rFonts w:ascii="Calibri" w:hAnsi="Calibri" w:eastAsia="Calibri" w:cs="Times New Roman" w:asciiTheme="minorHAnsi" w:eastAsiaTheme="minorHAnsi" w:hAnsiTheme="minorHAnsi"/>
      <w:color w:val="auto"/>
      <w:kern w:val="0"/>
      <w:sz w:val="20"/>
      <w:szCs w:val="22"/>
      <w:lang w:val="pl-PL" w:eastAsia="en-US" w:bidi="ar-SA"/>
    </w:rPr>
  </w:style>
  <w:style w:type="paragraph" w:styleId="BalloonText">
    <w:name w:val="Balloon Text"/>
    <w:basedOn w:val="Normal"/>
    <w:link w:val="TekstdymkaZnak"/>
    <w:uiPriority w:val="99"/>
    <w:semiHidden/>
    <w:unhideWhenUsed/>
    <w:qFormat/>
    <w:rsid w:val="004c13a7"/>
    <w:pPr/>
    <w:rPr>
      <w:rFonts w:ascii="Tahoma" w:hAnsi="Tahoma" w:cs="Tahoma"/>
      <w:sz w:val="16"/>
      <w:szCs w:val="16"/>
    </w:rPr>
  </w:style>
  <w:style w:type="paragraph" w:styleId="Indexheading1">
    <w:name w:val="index heading1"/>
    <w:basedOn w:val="Header"/>
    <w:qFormat/>
    <w:pPr/>
    <w:rPr/>
  </w:style>
  <w:style w:type="paragraph" w:styleId="IndexHeading">
    <w:name w:val="Index Heading"/>
    <w:basedOn w:val="Nagwek"/>
    <w:pPr/>
    <w:rPr/>
  </w:style>
  <w:style w:type="paragraph" w:styleId="TOCHeading">
    <w:name w:val="TOC Heading"/>
    <w:basedOn w:val="Heading1"/>
    <w:uiPriority w:val="39"/>
    <w:unhideWhenUsed/>
    <w:qFormat/>
    <w:rsid w:val="002f490d"/>
    <w:pPr>
      <w:widowControl/>
      <w:spacing w:lineRule="auto" w:line="259"/>
    </w:pPr>
    <w:rPr/>
  </w:style>
  <w:style w:type="paragraph" w:styleId="ListParagraph">
    <w:name w:val="List Paragraph"/>
    <w:basedOn w:val="Normal"/>
    <w:uiPriority w:val="34"/>
    <w:qFormat/>
    <w:rsid w:val="002f490d"/>
    <w:pPr>
      <w:spacing w:before="0" w:after="0"/>
      <w:ind w:start="720"/>
      <w:contextualSpacing/>
    </w:pPr>
    <w:rPr/>
  </w:style>
  <w:style w:type="paragraph" w:styleId="TOC1">
    <w:name w:val="TOC 1"/>
    <w:basedOn w:val="Normal"/>
    <w:autoRedefine/>
    <w:uiPriority w:val="39"/>
    <w:unhideWhenUsed/>
    <w:rsid w:val="00e25eec"/>
    <w:pPr>
      <w:spacing w:before="0" w:after="100"/>
    </w:pPr>
    <w:rPr/>
  </w:style>
  <w:style w:type="paragraph" w:styleId="TOC2">
    <w:name w:val="TOC 2"/>
    <w:basedOn w:val="Normal"/>
    <w:autoRedefine/>
    <w:uiPriority w:val="39"/>
    <w:unhideWhenUsed/>
    <w:rsid w:val="00e25eec"/>
    <w:pPr>
      <w:spacing w:before="0" w:after="100"/>
      <w:ind w:start="200"/>
    </w:pPr>
    <w:rPr/>
  </w:style>
  <w:style w:type="paragraph" w:styleId="TOC3">
    <w:name w:val="TOC 3"/>
    <w:basedOn w:val="Normal"/>
    <w:autoRedefine/>
    <w:uiPriority w:val="39"/>
    <w:unhideWhenUsed/>
    <w:rsid w:val="00e25eec"/>
    <w:pPr>
      <w:spacing w:before="0" w:after="100"/>
      <w:ind w:start="400"/>
    </w:pPr>
    <w:rPr/>
  </w:style>
  <w:style w:type="paragraph" w:styleId="SpecyfikacjaSSTpodstawowy" w:customStyle="1">
    <w:name w:val="Specyfikacja SST podstawowy"/>
    <w:basedOn w:val="Normal"/>
    <w:link w:val="SpecyfikacjaSSTpodstawowyZnak"/>
    <w:autoRedefine/>
    <w:qFormat/>
    <w:rsid w:val="00bd6fd6"/>
    <w:pPr>
      <w:widowControl/>
      <w:jc w:val="both"/>
    </w:pPr>
    <w:rPr>
      <w:rFonts w:ascii="Calibri" w:hAnsi="Calibri" w:eastAsia="Calibri" w:cs="" w:asciiTheme="minorHAnsi" w:cstheme="minorBidi" w:eastAsiaTheme="minorHAnsi" w:hAnsiTheme="minorHAnsi"/>
      <w:bCs/>
      <w:sz w:val="24"/>
      <w:szCs w:val="24"/>
      <w:lang w:eastAsia="en-US"/>
    </w:rPr>
  </w:style>
  <w:style w:type="paragraph" w:styleId="SpecyfikacjaSSTpodstpunkt" w:customStyle="1">
    <w:name w:val="Specyfikacja SST podst  punkt"/>
    <w:basedOn w:val="SpecyfikacjaSSTpodstawowy"/>
    <w:autoRedefine/>
    <w:qFormat/>
    <w:rsid w:val="00bd6fd6"/>
    <w:pPr>
      <w:tabs>
        <w:tab w:val="clear" w:pos="708"/>
        <w:tab w:val="left" w:pos="360" w:leader="none"/>
      </w:tabs>
    </w:pPr>
    <w:rPr/>
  </w:style>
  <w:style w:type="paragraph" w:styleId="Teksttreci61" w:customStyle="1">
    <w:name w:val="Tekst treści (6)"/>
    <w:basedOn w:val="Normal"/>
    <w:link w:val="Teksttreci6"/>
    <w:uiPriority w:val="99"/>
    <w:qFormat/>
    <w:rsid w:val="00971c1d"/>
    <w:pPr>
      <w:widowControl/>
      <w:shd w:val="clear" w:color="auto" w:fill="FFFFFF"/>
      <w:spacing w:lineRule="atLeast" w:line="240" w:before="900" w:after="0"/>
      <w:jc w:val="center"/>
    </w:pPr>
    <w:rPr>
      <w:rFonts w:eastAsia="Calibri" w:eastAsiaTheme="minorHAnsi"/>
      <w:b/>
      <w:sz w:val="16"/>
      <w:szCs w:val="22"/>
      <w:lang w:eastAsia="en-US"/>
    </w:rPr>
  </w:style>
  <w:style w:type="paragraph" w:styleId="Standard" w:customStyle="1">
    <w:name w:val="Standard"/>
    <w:qFormat/>
    <w:rsid w:val="00971c1d"/>
    <w:pPr>
      <w:widowControl/>
      <w:suppressAutoHyphens w:val="true"/>
      <w:bidi w:val="0"/>
      <w:spacing w:before="0" w:after="0"/>
      <w:jc w:val="start"/>
    </w:pPr>
    <w:rPr>
      <w:rFonts w:ascii="Times New Roman" w:hAnsi="Times New Roman" w:eastAsia="SimSun" w:cs="Arial"/>
      <w:color w:val="auto"/>
      <w:kern w:val="2"/>
      <w:sz w:val="24"/>
      <w:szCs w:val="24"/>
      <w:lang w:val="pl-PL" w:eastAsia="zh-CN" w:bidi="hi-IN"/>
    </w:rPr>
  </w:style>
  <w:style w:type="paragraph" w:styleId="SpecyfikacjaSST2" w:customStyle="1">
    <w:name w:val="Specyfikacja SST2"/>
    <w:basedOn w:val="Normal"/>
    <w:autoRedefine/>
    <w:qFormat/>
    <w:rsid w:val="00ee2021"/>
    <w:pPr>
      <w:widowControl/>
      <w:spacing w:before="0" w:after="120"/>
      <w:jc w:val="both"/>
    </w:pPr>
    <w:rPr>
      <w:rFonts w:ascii="Times New Roman" w:hAnsi="Times New Roman" w:cs="Times New Roman"/>
      <w:b/>
      <w:sz w:val="26"/>
      <w:szCs w:val="32"/>
    </w:rPr>
  </w:style>
  <w:style w:type="paragraph" w:styleId="SpecyfikacjaSST1" w:customStyle="1">
    <w:name w:val="Specyfikacja SST1"/>
    <w:basedOn w:val="Normal"/>
    <w:autoRedefine/>
    <w:qFormat/>
    <w:rsid w:val="00ee2021"/>
    <w:pPr>
      <w:widowControl/>
      <w:spacing w:before="360" w:after="120"/>
      <w:jc w:val="both"/>
    </w:pPr>
    <w:rPr>
      <w:rFonts w:ascii="Times New Roman" w:hAnsi="Times New Roman" w:cs="Times New Roman"/>
      <w:b/>
      <w:sz w:val="28"/>
      <w:szCs w:val="32"/>
    </w:rPr>
  </w:style>
  <w:style w:type="paragraph" w:styleId="SpecyfikacjaSSTpodkrelenie" w:customStyle="1">
    <w:name w:val="Specyfikacja SST podkreślenie"/>
    <w:basedOn w:val="SpecyfikacjaSSTpodstawowy"/>
    <w:link w:val="SpecyfikacjaSSTpodkrelenieZnak"/>
    <w:autoRedefine/>
    <w:qFormat/>
    <w:rsid w:val="004459c2"/>
    <w:pPr>
      <w:spacing w:before="120" w:after="120"/>
      <w:ind w:start="-426" w:end="284"/>
      <w:jc w:val="start"/>
    </w:pPr>
    <w:rPr>
      <w:rFonts w:ascii="Calibri" w:hAnsi="Calibri"/>
      <w:bCs w:val="false"/>
      <w:sz w:val="18"/>
      <w:szCs w:val="26"/>
      <w:u w:val="single"/>
    </w:rPr>
  </w:style>
  <w:style w:type="paragraph" w:styleId="-AKAPIT" w:customStyle="1">
    <w:name w:val="- AKAPIT"/>
    <w:basedOn w:val="Footer"/>
    <w:qFormat/>
    <w:rsid w:val="008b5241"/>
    <w:pPr>
      <w:widowControl/>
      <w:spacing w:lineRule="exact" w:line="260" w:before="120" w:after="0"/>
      <w:ind w:start="284"/>
      <w:jc w:val="both"/>
    </w:pPr>
    <w:rPr>
      <w:rFonts w:ascii="Verdana" w:hAnsi="Verdana" w:eastAsia="Calibri" w:cs="" w:cstheme="minorBidi" w:eastAsiaTheme="minorHAnsi"/>
      <w:i/>
      <w:sz w:val="16"/>
      <w:szCs w:val="16"/>
      <w:lang w:eastAsia="en-US"/>
    </w:rPr>
  </w:style>
  <w:style w:type="paragraph" w:styleId="Zawartoramki" w:customStyle="1">
    <w:name w:val="Zawartość ramki"/>
    <w:basedOn w:val="Normal"/>
    <w:qFormat/>
    <w:pPr/>
    <w:rPr/>
  </w:style>
  <w:style w:type="paragraph" w:styleId="NormalWeb">
    <w:name w:val="Normal (Web)"/>
    <w:basedOn w:val="Normal"/>
    <w:qFormat/>
    <w:pPr>
      <w:spacing w:before="280" w:after="280"/>
    </w:pPr>
    <w:rPr>
      <w:rFonts w:ascii="Arial Unicode MS" w:hAnsi="Arial Unicode MS" w:eastAsia="Arial Unicode MS" w:cs="Arial Unicode MS"/>
    </w:rPr>
  </w:style>
  <w:style w:type="paragraph" w:styleId="Legenda1" w:customStyle="1">
    <w:name w:val="Legenda1"/>
    <w:basedOn w:val="Normal"/>
    <w:qFormat/>
    <w:rsid w:val="00c23f0e"/>
    <w:pPr>
      <w:widowControl/>
      <w:spacing w:lineRule="auto" w:line="360" w:before="120" w:after="120"/>
      <w:jc w:val="both"/>
    </w:pPr>
    <w:rPr>
      <w:b/>
      <w:bCs/>
      <w:lang w:eastAsia="zh-CN"/>
    </w:rPr>
  </w:style>
  <w:style w:type="paragraph" w:styleId="TBtytS" w:customStyle="1">
    <w:name w:val="TB tyt. S"/>
    <w:basedOn w:val="Heading1"/>
    <w:qFormat/>
    <w:rsid w:val="004a4a89"/>
    <w:pPr>
      <w:keepNext w:val="false"/>
      <w:keepLines w:val="false"/>
      <w:suppressLineNumbers/>
      <w:snapToGrid w:val="false"/>
      <w:spacing w:before="60" w:after="0"/>
      <w:ind w:end="7"/>
      <w:contextualSpacing/>
      <w:jc w:val="end"/>
      <w:outlineLvl w:val="9"/>
    </w:pPr>
    <w:rPr>
      <w:rFonts w:ascii="Calibri" w:hAnsi="Calibri" w:eastAsia="Lucida Sans Unicode" w:cs="Open Sans"/>
      <w:sz w:val="14"/>
      <w:szCs w:val="14"/>
      <w:lang w:eastAsia="ar-SA"/>
    </w:rPr>
  </w:style>
  <w:style w:type="paragraph" w:styleId="TBtytM" w:customStyle="1">
    <w:name w:val="TB tyt. M"/>
    <w:basedOn w:val="Heading1"/>
    <w:qFormat/>
    <w:rsid w:val="004a4a89"/>
    <w:pPr>
      <w:keepNext w:val="false"/>
      <w:keepLines w:val="false"/>
      <w:widowControl/>
      <w:spacing w:before="0" w:after="0"/>
      <w:contextualSpacing/>
      <w:jc w:val="center"/>
      <w:outlineLvl w:val="9"/>
    </w:pPr>
    <w:rPr>
      <w:rFonts w:ascii="Calibri" w:hAnsi="Calibri" w:eastAsia="Times New Roman" w:cs="Calibri"/>
      <w:bCs/>
      <w:sz w:val="18"/>
      <w:szCs w:val="24"/>
      <w:lang w:eastAsia="ar-SA"/>
    </w:rPr>
  </w:style>
  <w:style w:type="paragraph" w:styleId="TBtytL" w:customStyle="1">
    <w:name w:val="TB tyt. L"/>
    <w:basedOn w:val="Heading1"/>
    <w:qFormat/>
    <w:rsid w:val="004a4a89"/>
    <w:pPr>
      <w:keepNext w:val="false"/>
      <w:keepLines w:val="false"/>
      <w:widowControl/>
      <w:spacing w:before="0" w:after="0"/>
      <w:contextualSpacing/>
      <w:jc w:val="center"/>
      <w:outlineLvl w:val="9"/>
    </w:pPr>
    <w:rPr>
      <w:rFonts w:ascii="Calibri" w:hAnsi="Calibri" w:eastAsia="Lucida Sans Unicode" w:cs="Calibri"/>
      <w:b/>
      <w:bCs/>
      <w:sz w:val="24"/>
      <w:szCs w:val="24"/>
      <w:lang w:eastAsia="ar-SA"/>
    </w:rPr>
  </w:style>
  <w:style w:type="paragraph" w:styleId="Zawartotabeli" w:customStyle="1">
    <w:name w:val="Zawartość tabeli"/>
    <w:basedOn w:val="Normal"/>
    <w:qFormat/>
    <w:pPr>
      <w:suppressLineNumbers/>
    </w:pPr>
    <w:rPr/>
  </w:style>
  <w:style w:type="numbering" w:styleId="NoList" w:default="1">
    <w:name w:val="No List"/>
    <w:uiPriority w:val="99"/>
    <w:semiHidden/>
    <w:unhideWhenUsed/>
    <w:qFormat/>
  </w:style>
  <w:style w:type="numbering" w:styleId="WW8Num4" w:customStyle="1">
    <w:name w:val="WW8Num4"/>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971c1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9D398-3B24-4612-8566-0EE899C97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Application>LibreOffice/7.6.2.1$Windows_X86_64 LibreOffice_project/56f7684011345957bbf33a7ee678afaf4d2ba333</Application>
  <AppVersion>15.0000</AppVersion>
  <Pages>39</Pages>
  <Words>11694</Words>
  <Characters>79475</Characters>
  <CharactersWithSpaces>90553</CharactersWithSpaces>
  <Paragraphs>808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2020-09-22T06:48:00Z</dcterms:created>
  <dc:creator>TP</dc:creator>
  <dc:description/>
  <dc:language>pl-PL</dc:language>
  <cp:lastModifiedBy/>
  <cp:lastPrinted>2025-12-29T14:36:12Z</cp:lastPrinted>
  <dcterms:modified xsi:type="dcterms:W3CDTF">2025-12-29T14:35:49Z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