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9D5AA3" w14:textId="3EDBCCF1" w:rsidR="008A11C0" w:rsidRDefault="008A11C0" w:rsidP="008A11C0">
      <w:pPr>
        <w:spacing w:after="0" w:line="240" w:lineRule="auto"/>
      </w:pPr>
      <w:r w:rsidRPr="008A11C0">
        <w:rPr>
          <w:b/>
          <w:bCs/>
        </w:rPr>
        <w:t xml:space="preserve">8/2026/TP              </w:t>
      </w:r>
      <w:r w:rsidRPr="008A11C0">
        <w:t xml:space="preserve">                                                                                   </w:t>
      </w:r>
      <w:r>
        <w:t xml:space="preserve">                                                                                                                                                    </w:t>
      </w:r>
      <w:r w:rsidRPr="008A11C0">
        <w:t xml:space="preserve">    </w:t>
      </w:r>
      <w:r>
        <w:t>SWZ</w:t>
      </w:r>
    </w:p>
    <w:p w14:paraId="45EAEAA9" w14:textId="77777777" w:rsidR="00A6030C" w:rsidRDefault="00A6030C" w:rsidP="008A11C0">
      <w:pPr>
        <w:spacing w:after="0" w:line="240" w:lineRule="auto"/>
      </w:pPr>
    </w:p>
    <w:p w14:paraId="66DCFADF" w14:textId="468DE2A3" w:rsidR="008A11C0" w:rsidRPr="00A6030C" w:rsidRDefault="00A6030C" w:rsidP="008A11C0">
      <w:pPr>
        <w:spacing w:after="0" w:line="240" w:lineRule="auto"/>
        <w:rPr>
          <w:b/>
          <w:bCs/>
        </w:rPr>
      </w:pPr>
      <w:r w:rsidRPr="00A6030C">
        <w:rPr>
          <w:b/>
          <w:bCs/>
        </w:rPr>
        <w:t>Załącznik nr 2 do SWZ</w:t>
      </w:r>
    </w:p>
    <w:p w14:paraId="5E89F2E6" w14:textId="77777777" w:rsidR="00FB4A5C" w:rsidRPr="00354E77" w:rsidRDefault="00FB4A5C" w:rsidP="00FB4A5C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  <w:color w:val="000000"/>
          <w:sz w:val="16"/>
          <w:szCs w:val="16"/>
        </w:rPr>
      </w:pPr>
      <w:r w:rsidRPr="0045379C">
        <w:rPr>
          <w:rFonts w:ascii="Calibri" w:hAnsi="Calibri" w:cs="Calibri"/>
          <w:b/>
          <w:bCs/>
          <w:color w:val="000000"/>
          <w:sz w:val="24"/>
          <w:szCs w:val="24"/>
        </w:rPr>
        <w:t>FORMULARZ ASORTYMENTOWO-CENOWY</w:t>
      </w:r>
    </w:p>
    <w:p w14:paraId="31DD81BA" w14:textId="77777777" w:rsidR="00354E77" w:rsidRPr="00354E77" w:rsidRDefault="00354E77" w:rsidP="00354E77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b/>
          <w:bCs/>
          <w:color w:val="000000"/>
          <w:sz w:val="16"/>
          <w:szCs w:val="16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81"/>
        <w:gridCol w:w="3625"/>
        <w:gridCol w:w="3260"/>
        <w:gridCol w:w="851"/>
        <w:gridCol w:w="992"/>
        <w:gridCol w:w="1276"/>
        <w:gridCol w:w="1134"/>
        <w:gridCol w:w="1276"/>
      </w:tblGrid>
      <w:tr w:rsidR="00FB4A5C" w14:paraId="740AA691" w14:textId="77777777" w:rsidTr="00354E77">
        <w:tc>
          <w:tcPr>
            <w:tcW w:w="481" w:type="dxa"/>
          </w:tcPr>
          <w:p w14:paraId="2298D45D" w14:textId="77777777" w:rsidR="00FB4A5C" w:rsidRDefault="00FB4A5C" w:rsidP="00731ECE">
            <w:r>
              <w:t xml:space="preserve">Lp. </w:t>
            </w:r>
          </w:p>
        </w:tc>
        <w:tc>
          <w:tcPr>
            <w:tcW w:w="3625" w:type="dxa"/>
            <w:vAlign w:val="center"/>
          </w:tcPr>
          <w:p w14:paraId="5C17BBA4" w14:textId="77777777" w:rsidR="00FB4A5C" w:rsidRPr="0073785D" w:rsidRDefault="00FB4A5C" w:rsidP="00731ECE">
            <w:pPr>
              <w:jc w:val="center"/>
              <w:rPr>
                <w:sz w:val="20"/>
                <w:szCs w:val="20"/>
              </w:rPr>
            </w:pPr>
            <w:r w:rsidRPr="0073785D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</w:tc>
        <w:tc>
          <w:tcPr>
            <w:tcW w:w="3260" w:type="dxa"/>
            <w:vAlign w:val="center"/>
          </w:tcPr>
          <w:p w14:paraId="158663D7" w14:textId="77777777" w:rsidR="00FB4A5C" w:rsidRDefault="00FB4A5C" w:rsidP="00731ECE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  <w:r w:rsidRPr="0073785D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 xml:space="preserve">producent, nr katalogowy, </w:t>
            </w:r>
          </w:p>
          <w:p w14:paraId="5FB0D9BD" w14:textId="77777777" w:rsidR="00FB4A5C" w:rsidRPr="0073785D" w:rsidRDefault="00FB4A5C" w:rsidP="00731ECE">
            <w:pPr>
              <w:jc w:val="center"/>
              <w:rPr>
                <w:sz w:val="20"/>
                <w:szCs w:val="20"/>
              </w:rPr>
            </w:pPr>
            <w:r w:rsidRPr="0073785D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nazwa handlowa</w:t>
            </w:r>
          </w:p>
        </w:tc>
        <w:tc>
          <w:tcPr>
            <w:tcW w:w="851" w:type="dxa"/>
            <w:vAlign w:val="center"/>
          </w:tcPr>
          <w:p w14:paraId="1E9E0F10" w14:textId="77777777" w:rsidR="00FB4A5C" w:rsidRPr="0073785D" w:rsidRDefault="00FB4A5C" w:rsidP="00731ECE">
            <w:pPr>
              <w:jc w:val="center"/>
              <w:rPr>
                <w:sz w:val="20"/>
                <w:szCs w:val="20"/>
              </w:rPr>
            </w:pPr>
            <w:r w:rsidRPr="0073785D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Jedn. miary</w:t>
            </w:r>
          </w:p>
        </w:tc>
        <w:tc>
          <w:tcPr>
            <w:tcW w:w="992" w:type="dxa"/>
            <w:vAlign w:val="center"/>
          </w:tcPr>
          <w:p w14:paraId="30B4A5C4" w14:textId="77777777" w:rsidR="00FB4A5C" w:rsidRPr="0073785D" w:rsidRDefault="00FB4A5C" w:rsidP="00731ECE">
            <w:pPr>
              <w:jc w:val="center"/>
              <w:rPr>
                <w:sz w:val="20"/>
                <w:szCs w:val="20"/>
              </w:rPr>
            </w:pPr>
            <w:r w:rsidRPr="0073785D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liczba jedn.</w:t>
            </w:r>
          </w:p>
        </w:tc>
        <w:tc>
          <w:tcPr>
            <w:tcW w:w="1276" w:type="dxa"/>
            <w:vAlign w:val="center"/>
          </w:tcPr>
          <w:p w14:paraId="1D481896" w14:textId="77777777" w:rsidR="00FB4A5C" w:rsidRPr="0073785D" w:rsidRDefault="00FB4A5C" w:rsidP="00731ECE">
            <w:pPr>
              <w:jc w:val="center"/>
              <w:rPr>
                <w:sz w:val="20"/>
                <w:szCs w:val="20"/>
              </w:rPr>
            </w:pPr>
            <w:r w:rsidRPr="0073785D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cena jedn. netto</w:t>
            </w:r>
          </w:p>
        </w:tc>
        <w:tc>
          <w:tcPr>
            <w:tcW w:w="1134" w:type="dxa"/>
            <w:vAlign w:val="center"/>
          </w:tcPr>
          <w:p w14:paraId="71E3F7CC" w14:textId="77777777" w:rsidR="00FB4A5C" w:rsidRPr="0073785D" w:rsidRDefault="00FB4A5C" w:rsidP="00731ECE">
            <w:pPr>
              <w:jc w:val="center"/>
              <w:rPr>
                <w:sz w:val="20"/>
                <w:szCs w:val="20"/>
              </w:rPr>
            </w:pPr>
            <w:r w:rsidRPr="0073785D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netto</w:t>
            </w:r>
          </w:p>
        </w:tc>
        <w:tc>
          <w:tcPr>
            <w:tcW w:w="1276" w:type="dxa"/>
            <w:vAlign w:val="center"/>
          </w:tcPr>
          <w:p w14:paraId="51A64DFC" w14:textId="77777777" w:rsidR="00FB4A5C" w:rsidRPr="0073785D" w:rsidRDefault="00FB4A5C" w:rsidP="00731ECE">
            <w:pPr>
              <w:jc w:val="center"/>
              <w:rPr>
                <w:sz w:val="20"/>
                <w:szCs w:val="20"/>
              </w:rPr>
            </w:pPr>
            <w:r w:rsidRPr="0073785D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brutto</w:t>
            </w:r>
          </w:p>
        </w:tc>
      </w:tr>
      <w:tr w:rsidR="00354E77" w14:paraId="38D271D6" w14:textId="77777777" w:rsidTr="00B052D1">
        <w:tc>
          <w:tcPr>
            <w:tcW w:w="12895" w:type="dxa"/>
            <w:gridSpan w:val="8"/>
          </w:tcPr>
          <w:p w14:paraId="46E420FD" w14:textId="77777777" w:rsidR="00354E77" w:rsidRPr="00354E77" w:rsidRDefault="00354E77" w:rsidP="00731ECE">
            <w:pPr>
              <w:rPr>
                <w:sz w:val="8"/>
                <w:szCs w:val="8"/>
              </w:rPr>
            </w:pPr>
          </w:p>
        </w:tc>
      </w:tr>
      <w:tr w:rsidR="009E04DD" w14:paraId="5475F15D" w14:textId="77777777" w:rsidTr="00354E77">
        <w:tc>
          <w:tcPr>
            <w:tcW w:w="481" w:type="dxa"/>
          </w:tcPr>
          <w:p w14:paraId="57A509B4" w14:textId="77777777" w:rsidR="009E04DD" w:rsidRPr="00354E77" w:rsidRDefault="009E04DD" w:rsidP="009E04DD">
            <w:r w:rsidRPr="00354E77">
              <w:t>1</w:t>
            </w:r>
          </w:p>
        </w:tc>
        <w:tc>
          <w:tcPr>
            <w:tcW w:w="3625" w:type="dxa"/>
            <w:vAlign w:val="center"/>
          </w:tcPr>
          <w:p w14:paraId="63C39678" w14:textId="77777777" w:rsidR="009E04DD" w:rsidRPr="00354E77" w:rsidRDefault="009E04DD" w:rsidP="009E04DD">
            <w:pPr>
              <w:rPr>
                <w:rFonts w:eastAsia="Times New Roman" w:cstheme="minorHAnsi"/>
                <w:lang w:eastAsia="pl-PL"/>
              </w:rPr>
            </w:pPr>
            <w:r w:rsidRPr="00354E77">
              <w:rPr>
                <w:rFonts w:eastAsia="Times New Roman" w:cstheme="minorHAnsi"/>
                <w:lang w:eastAsia="pl-PL"/>
              </w:rPr>
              <w:t xml:space="preserve">Oznaczenia do analizy moczu </w:t>
            </w:r>
          </w:p>
          <w:p w14:paraId="71721022" w14:textId="61707466" w:rsidR="009E04DD" w:rsidRPr="00354E77" w:rsidRDefault="009E04DD" w:rsidP="009E04DD">
            <w:r w:rsidRPr="00354E77">
              <w:rPr>
                <w:rFonts w:eastAsia="Times New Roman" w:cstheme="minorHAnsi"/>
                <w:lang w:eastAsia="pl-PL"/>
              </w:rPr>
              <w:t xml:space="preserve"> – 11 parametrowe</w:t>
            </w:r>
          </w:p>
        </w:tc>
        <w:tc>
          <w:tcPr>
            <w:tcW w:w="3260" w:type="dxa"/>
          </w:tcPr>
          <w:p w14:paraId="3FE1EF13" w14:textId="77777777" w:rsidR="009E04DD" w:rsidRDefault="009E04DD" w:rsidP="009E04DD"/>
        </w:tc>
        <w:tc>
          <w:tcPr>
            <w:tcW w:w="851" w:type="dxa"/>
            <w:vAlign w:val="center"/>
          </w:tcPr>
          <w:p w14:paraId="599D7628" w14:textId="322E6218" w:rsidR="009E04DD" w:rsidRDefault="009E04DD" w:rsidP="009E04DD">
            <w:pPr>
              <w:jc w:val="center"/>
            </w:pPr>
            <w:proofErr w:type="spellStart"/>
            <w:r w:rsidRPr="00354E77">
              <w:rPr>
                <w:rFonts w:eastAsia="Times New Roman" w:cstheme="minorHAnsi"/>
                <w:lang w:eastAsia="pl-PL"/>
              </w:rPr>
              <w:t>ozn</w:t>
            </w:r>
            <w:proofErr w:type="spellEnd"/>
            <w:r w:rsidRPr="00354E77">
              <w:rPr>
                <w:rFonts w:eastAsia="Times New Roman" w:cstheme="minorHAnsi"/>
                <w:lang w:eastAsia="pl-PL"/>
              </w:rPr>
              <w:t>.</w:t>
            </w:r>
          </w:p>
        </w:tc>
        <w:tc>
          <w:tcPr>
            <w:tcW w:w="992" w:type="dxa"/>
          </w:tcPr>
          <w:p w14:paraId="7DE5666F" w14:textId="77777777" w:rsidR="009E04DD" w:rsidRPr="009E04DD" w:rsidRDefault="009E04DD" w:rsidP="009E04DD">
            <w:pPr>
              <w:jc w:val="center"/>
              <w:rPr>
                <w:sz w:val="8"/>
                <w:szCs w:val="8"/>
              </w:rPr>
            </w:pPr>
          </w:p>
          <w:p w14:paraId="08CAB699" w14:textId="288B2A60" w:rsidR="009E04DD" w:rsidRDefault="009E04DD" w:rsidP="009E04DD">
            <w:pPr>
              <w:jc w:val="center"/>
            </w:pPr>
            <w:r w:rsidRPr="00354E77">
              <w:t>55 000</w:t>
            </w:r>
          </w:p>
        </w:tc>
        <w:tc>
          <w:tcPr>
            <w:tcW w:w="1276" w:type="dxa"/>
          </w:tcPr>
          <w:p w14:paraId="63CBCBCB" w14:textId="77777777" w:rsidR="009E04DD" w:rsidRDefault="009E04DD" w:rsidP="009E04DD"/>
        </w:tc>
        <w:tc>
          <w:tcPr>
            <w:tcW w:w="1134" w:type="dxa"/>
          </w:tcPr>
          <w:p w14:paraId="1C561E23" w14:textId="77777777" w:rsidR="009E04DD" w:rsidRDefault="009E04DD" w:rsidP="009E04DD"/>
        </w:tc>
        <w:tc>
          <w:tcPr>
            <w:tcW w:w="1276" w:type="dxa"/>
          </w:tcPr>
          <w:p w14:paraId="2ECEF411" w14:textId="77777777" w:rsidR="009E04DD" w:rsidRDefault="009E04DD" w:rsidP="009E04DD"/>
        </w:tc>
      </w:tr>
      <w:tr w:rsidR="009E04DD" w14:paraId="4165D038" w14:textId="77777777" w:rsidTr="00354E77">
        <w:tc>
          <w:tcPr>
            <w:tcW w:w="481" w:type="dxa"/>
          </w:tcPr>
          <w:p w14:paraId="4BB957AC" w14:textId="77777777" w:rsidR="009E04DD" w:rsidRPr="00354E77" w:rsidRDefault="009E04DD" w:rsidP="009E04DD">
            <w:r w:rsidRPr="00354E77">
              <w:t>2</w:t>
            </w:r>
          </w:p>
        </w:tc>
        <w:tc>
          <w:tcPr>
            <w:tcW w:w="3625" w:type="dxa"/>
            <w:vAlign w:val="center"/>
          </w:tcPr>
          <w:p w14:paraId="206547FD" w14:textId="506C3FAD" w:rsidR="009E04DD" w:rsidRPr="00354E77" w:rsidRDefault="009E04DD" w:rsidP="009E04DD">
            <w:proofErr w:type="spellStart"/>
            <w:r w:rsidRPr="00354E77">
              <w:rPr>
                <w:rFonts w:eastAsia="Times New Roman" w:cstheme="minorHAnsi"/>
                <w:lang w:eastAsia="pl-PL"/>
              </w:rPr>
              <w:t>Diluent</w:t>
            </w:r>
            <w:proofErr w:type="spellEnd"/>
            <w:r w:rsidRPr="00354E77">
              <w:rPr>
                <w:rFonts w:eastAsia="Times New Roman" w:cstheme="minorHAnsi"/>
                <w:lang w:eastAsia="pl-PL"/>
              </w:rPr>
              <w:t xml:space="preserve"> </w:t>
            </w:r>
          </w:p>
        </w:tc>
        <w:tc>
          <w:tcPr>
            <w:tcW w:w="3260" w:type="dxa"/>
          </w:tcPr>
          <w:p w14:paraId="68877AF7" w14:textId="77777777" w:rsidR="009E04DD" w:rsidRPr="00354E77" w:rsidRDefault="009E04DD" w:rsidP="009E04DD"/>
        </w:tc>
        <w:tc>
          <w:tcPr>
            <w:tcW w:w="851" w:type="dxa"/>
            <w:vAlign w:val="center"/>
          </w:tcPr>
          <w:p w14:paraId="30854F91" w14:textId="63D3B599" w:rsidR="009E04DD" w:rsidRPr="00354E77" w:rsidRDefault="009E04DD" w:rsidP="009E04DD">
            <w:pPr>
              <w:jc w:val="center"/>
            </w:pPr>
            <w:proofErr w:type="spellStart"/>
            <w:r w:rsidRPr="00354E77">
              <w:rPr>
                <w:rFonts w:eastAsia="Times New Roman" w:cstheme="minorHAnsi"/>
                <w:lang w:eastAsia="pl-PL"/>
              </w:rPr>
              <w:t>ozn</w:t>
            </w:r>
            <w:proofErr w:type="spellEnd"/>
            <w:r w:rsidRPr="00354E77">
              <w:rPr>
                <w:rFonts w:eastAsia="Times New Roman" w:cstheme="minorHAnsi"/>
                <w:lang w:eastAsia="pl-PL"/>
              </w:rPr>
              <w:t>.</w:t>
            </w:r>
          </w:p>
        </w:tc>
        <w:tc>
          <w:tcPr>
            <w:tcW w:w="992" w:type="dxa"/>
          </w:tcPr>
          <w:p w14:paraId="054A2E7E" w14:textId="1A220DDE" w:rsidR="009E04DD" w:rsidRPr="00354E77" w:rsidRDefault="009E04DD" w:rsidP="009E04DD">
            <w:pPr>
              <w:jc w:val="center"/>
            </w:pPr>
          </w:p>
        </w:tc>
        <w:tc>
          <w:tcPr>
            <w:tcW w:w="1276" w:type="dxa"/>
          </w:tcPr>
          <w:p w14:paraId="09E64FD3" w14:textId="77777777" w:rsidR="009E04DD" w:rsidRDefault="009E04DD" w:rsidP="009E04DD"/>
        </w:tc>
        <w:tc>
          <w:tcPr>
            <w:tcW w:w="1134" w:type="dxa"/>
          </w:tcPr>
          <w:p w14:paraId="63910008" w14:textId="77777777" w:rsidR="009E04DD" w:rsidRDefault="009E04DD" w:rsidP="009E04DD"/>
        </w:tc>
        <w:tc>
          <w:tcPr>
            <w:tcW w:w="1276" w:type="dxa"/>
          </w:tcPr>
          <w:p w14:paraId="4CBB1D74" w14:textId="77777777" w:rsidR="009E04DD" w:rsidRDefault="009E04DD" w:rsidP="009E04DD"/>
        </w:tc>
      </w:tr>
      <w:tr w:rsidR="009E04DD" w14:paraId="20F86AE8" w14:textId="77777777" w:rsidTr="00A43D2B">
        <w:tc>
          <w:tcPr>
            <w:tcW w:w="481" w:type="dxa"/>
          </w:tcPr>
          <w:p w14:paraId="79F1CF74" w14:textId="77777777" w:rsidR="009E04DD" w:rsidRPr="00354E77" w:rsidRDefault="009E04DD" w:rsidP="009E04DD">
            <w:r w:rsidRPr="00354E77">
              <w:t>3</w:t>
            </w:r>
          </w:p>
        </w:tc>
        <w:tc>
          <w:tcPr>
            <w:tcW w:w="3625" w:type="dxa"/>
            <w:vAlign w:val="center"/>
          </w:tcPr>
          <w:p w14:paraId="4CB0908C" w14:textId="4BEAA20C" w:rsidR="009E04DD" w:rsidRPr="00354E77" w:rsidRDefault="009E04DD" w:rsidP="009E04DD">
            <w:r w:rsidRPr="00354E77">
              <w:rPr>
                <w:rFonts w:eastAsia="Times New Roman" w:cstheme="minorHAnsi"/>
                <w:lang w:eastAsia="pl-PL"/>
              </w:rPr>
              <w:t>Płyn płuczący</w:t>
            </w:r>
          </w:p>
        </w:tc>
        <w:tc>
          <w:tcPr>
            <w:tcW w:w="3260" w:type="dxa"/>
          </w:tcPr>
          <w:p w14:paraId="2CA62AFE" w14:textId="77777777" w:rsidR="009E04DD" w:rsidRPr="00354E77" w:rsidRDefault="009E04DD" w:rsidP="009E04DD"/>
        </w:tc>
        <w:tc>
          <w:tcPr>
            <w:tcW w:w="851" w:type="dxa"/>
          </w:tcPr>
          <w:p w14:paraId="7DCC2DD5" w14:textId="03577CAE" w:rsidR="009E04DD" w:rsidRPr="00354E77" w:rsidRDefault="009E04DD" w:rsidP="009E04DD">
            <w:pPr>
              <w:jc w:val="center"/>
            </w:pPr>
            <w:proofErr w:type="spellStart"/>
            <w:r w:rsidRPr="00354E77">
              <w:t>ozn</w:t>
            </w:r>
            <w:proofErr w:type="spellEnd"/>
            <w:r w:rsidRPr="00354E77">
              <w:t>.</w:t>
            </w:r>
          </w:p>
        </w:tc>
        <w:tc>
          <w:tcPr>
            <w:tcW w:w="992" w:type="dxa"/>
          </w:tcPr>
          <w:p w14:paraId="1D07433C" w14:textId="4C5DD242" w:rsidR="009E04DD" w:rsidRPr="00354E77" w:rsidRDefault="009E04DD" w:rsidP="009E04DD">
            <w:pPr>
              <w:jc w:val="center"/>
            </w:pPr>
          </w:p>
        </w:tc>
        <w:tc>
          <w:tcPr>
            <w:tcW w:w="1276" w:type="dxa"/>
          </w:tcPr>
          <w:p w14:paraId="3AAB1C34" w14:textId="77777777" w:rsidR="009E04DD" w:rsidRDefault="009E04DD" w:rsidP="009E04DD"/>
        </w:tc>
        <w:tc>
          <w:tcPr>
            <w:tcW w:w="1134" w:type="dxa"/>
          </w:tcPr>
          <w:p w14:paraId="5165D4B3" w14:textId="77777777" w:rsidR="009E04DD" w:rsidRDefault="009E04DD" w:rsidP="009E04DD"/>
        </w:tc>
        <w:tc>
          <w:tcPr>
            <w:tcW w:w="1276" w:type="dxa"/>
          </w:tcPr>
          <w:p w14:paraId="4A9DC0C0" w14:textId="77777777" w:rsidR="009E04DD" w:rsidRDefault="009E04DD" w:rsidP="009E04DD"/>
        </w:tc>
      </w:tr>
      <w:tr w:rsidR="009E04DD" w14:paraId="52894558" w14:textId="77777777" w:rsidTr="00354E77">
        <w:tc>
          <w:tcPr>
            <w:tcW w:w="481" w:type="dxa"/>
          </w:tcPr>
          <w:p w14:paraId="752A01FF" w14:textId="77777777" w:rsidR="009E04DD" w:rsidRPr="00354E77" w:rsidRDefault="009E04DD" w:rsidP="009E04DD">
            <w:r w:rsidRPr="00354E77">
              <w:t>4</w:t>
            </w:r>
          </w:p>
        </w:tc>
        <w:tc>
          <w:tcPr>
            <w:tcW w:w="3625" w:type="dxa"/>
            <w:vAlign w:val="center"/>
          </w:tcPr>
          <w:p w14:paraId="4E56DC47" w14:textId="77777777" w:rsidR="009E04DD" w:rsidRPr="00354E77" w:rsidRDefault="009E04DD" w:rsidP="009E04DD">
            <w:pPr>
              <w:rPr>
                <w:rFonts w:eastAsia="Times New Roman" w:cstheme="minorHAnsi"/>
                <w:lang w:eastAsia="pl-PL"/>
              </w:rPr>
            </w:pPr>
            <w:r w:rsidRPr="00354E77">
              <w:rPr>
                <w:rFonts w:eastAsia="Times New Roman" w:cstheme="minorHAnsi"/>
                <w:lang w:eastAsia="pl-PL"/>
              </w:rPr>
              <w:t xml:space="preserve">Materiały kontrolne do analizy moczu </w:t>
            </w:r>
          </w:p>
          <w:p w14:paraId="679B8AEC" w14:textId="754D6B0D" w:rsidR="009E04DD" w:rsidRPr="00354E77" w:rsidRDefault="009E04DD" w:rsidP="009E04DD">
            <w:r w:rsidRPr="00354E77">
              <w:rPr>
                <w:rFonts w:eastAsia="Times New Roman" w:cstheme="minorHAnsi"/>
                <w:lang w:eastAsia="pl-PL"/>
              </w:rPr>
              <w:t xml:space="preserve"> (poziom patologiczny i normalny)</w:t>
            </w:r>
          </w:p>
        </w:tc>
        <w:tc>
          <w:tcPr>
            <w:tcW w:w="3260" w:type="dxa"/>
          </w:tcPr>
          <w:p w14:paraId="552D602B" w14:textId="77777777" w:rsidR="009E04DD" w:rsidRPr="00354E77" w:rsidRDefault="009E04DD" w:rsidP="009E04DD"/>
        </w:tc>
        <w:tc>
          <w:tcPr>
            <w:tcW w:w="851" w:type="dxa"/>
          </w:tcPr>
          <w:p w14:paraId="48CF22B1" w14:textId="3FB0F311" w:rsidR="009E04DD" w:rsidRPr="00354E77" w:rsidRDefault="009E04DD" w:rsidP="009E04DD">
            <w:pPr>
              <w:jc w:val="center"/>
            </w:pPr>
            <w:proofErr w:type="spellStart"/>
            <w:r w:rsidRPr="00354E77">
              <w:t>ozn</w:t>
            </w:r>
            <w:proofErr w:type="spellEnd"/>
            <w:r w:rsidRPr="00354E77">
              <w:t>.</w:t>
            </w:r>
          </w:p>
        </w:tc>
        <w:tc>
          <w:tcPr>
            <w:tcW w:w="992" w:type="dxa"/>
          </w:tcPr>
          <w:p w14:paraId="4D72CEAB" w14:textId="46581501" w:rsidR="009E04DD" w:rsidRPr="00354E77" w:rsidRDefault="009E04DD" w:rsidP="009E04DD">
            <w:pPr>
              <w:jc w:val="center"/>
            </w:pPr>
          </w:p>
        </w:tc>
        <w:tc>
          <w:tcPr>
            <w:tcW w:w="1276" w:type="dxa"/>
          </w:tcPr>
          <w:p w14:paraId="486F6551" w14:textId="77777777" w:rsidR="009E04DD" w:rsidRDefault="009E04DD" w:rsidP="009E04DD"/>
        </w:tc>
        <w:tc>
          <w:tcPr>
            <w:tcW w:w="1134" w:type="dxa"/>
          </w:tcPr>
          <w:p w14:paraId="748E9D2E" w14:textId="77777777" w:rsidR="009E04DD" w:rsidRDefault="009E04DD" w:rsidP="009E04DD"/>
        </w:tc>
        <w:tc>
          <w:tcPr>
            <w:tcW w:w="1276" w:type="dxa"/>
          </w:tcPr>
          <w:p w14:paraId="1E30D5DD" w14:textId="77777777" w:rsidR="009E04DD" w:rsidRDefault="009E04DD" w:rsidP="009E04DD"/>
        </w:tc>
      </w:tr>
      <w:tr w:rsidR="009E04DD" w14:paraId="6C2DE9D1" w14:textId="77777777" w:rsidTr="00A43D2B">
        <w:tc>
          <w:tcPr>
            <w:tcW w:w="481" w:type="dxa"/>
          </w:tcPr>
          <w:p w14:paraId="70BAF3DC" w14:textId="77777777" w:rsidR="009E04DD" w:rsidRPr="00354E77" w:rsidRDefault="009E04DD" w:rsidP="009E04DD">
            <w:r w:rsidRPr="00354E77">
              <w:t>5</w:t>
            </w:r>
          </w:p>
        </w:tc>
        <w:tc>
          <w:tcPr>
            <w:tcW w:w="3625" w:type="dxa"/>
            <w:vAlign w:val="center"/>
          </w:tcPr>
          <w:p w14:paraId="2376B85B" w14:textId="0269AF7E" w:rsidR="009E04DD" w:rsidRPr="00354E77" w:rsidRDefault="009E04DD" w:rsidP="009E04DD">
            <w:r w:rsidRPr="00354E77">
              <w:rPr>
                <w:rFonts w:eastAsia="Times New Roman" w:cstheme="minorHAnsi"/>
                <w:lang w:eastAsia="pl-PL"/>
              </w:rPr>
              <w:t>Dzierżawa analizatora moczu</w:t>
            </w:r>
          </w:p>
        </w:tc>
        <w:tc>
          <w:tcPr>
            <w:tcW w:w="3260" w:type="dxa"/>
          </w:tcPr>
          <w:p w14:paraId="1C8B4218" w14:textId="77777777" w:rsidR="009E04DD" w:rsidRPr="00354E77" w:rsidRDefault="009E04DD" w:rsidP="009E04DD"/>
        </w:tc>
        <w:tc>
          <w:tcPr>
            <w:tcW w:w="851" w:type="dxa"/>
            <w:vAlign w:val="center"/>
          </w:tcPr>
          <w:p w14:paraId="537830E7" w14:textId="2B7E1FDC" w:rsidR="009E04DD" w:rsidRPr="00354E77" w:rsidRDefault="009E04DD" w:rsidP="009E04DD">
            <w:pPr>
              <w:jc w:val="center"/>
            </w:pPr>
            <w:r w:rsidRPr="00691EA6">
              <w:rPr>
                <w:rFonts w:eastAsia="Times New Roman" w:cstheme="minorHAnsi"/>
                <w:color w:val="000000"/>
                <w:lang w:eastAsia="pl-PL"/>
              </w:rPr>
              <w:t>m</w:t>
            </w:r>
            <w:r>
              <w:rPr>
                <w:rFonts w:eastAsia="Times New Roman" w:cstheme="minorHAnsi"/>
                <w:color w:val="000000"/>
                <w:lang w:eastAsia="pl-PL"/>
              </w:rPr>
              <w:t>-</w:t>
            </w:r>
            <w:r w:rsidRPr="00691EA6">
              <w:rPr>
                <w:rFonts w:eastAsia="Times New Roman" w:cstheme="minorHAnsi"/>
                <w:color w:val="000000"/>
                <w:lang w:eastAsia="pl-PL"/>
              </w:rPr>
              <w:t>c</w:t>
            </w:r>
          </w:p>
        </w:tc>
        <w:tc>
          <w:tcPr>
            <w:tcW w:w="992" w:type="dxa"/>
          </w:tcPr>
          <w:p w14:paraId="1D49FEDB" w14:textId="2098FF69" w:rsidR="009E04DD" w:rsidRPr="00354E77" w:rsidRDefault="009E04DD" w:rsidP="009E04DD">
            <w:pPr>
              <w:jc w:val="center"/>
            </w:pPr>
            <w:r>
              <w:t>36</w:t>
            </w:r>
          </w:p>
        </w:tc>
        <w:tc>
          <w:tcPr>
            <w:tcW w:w="1276" w:type="dxa"/>
          </w:tcPr>
          <w:p w14:paraId="3AC2DC6B" w14:textId="77777777" w:rsidR="009E04DD" w:rsidRDefault="009E04DD" w:rsidP="009E04DD"/>
        </w:tc>
        <w:tc>
          <w:tcPr>
            <w:tcW w:w="1134" w:type="dxa"/>
          </w:tcPr>
          <w:p w14:paraId="608ECBF0" w14:textId="77777777" w:rsidR="009E04DD" w:rsidRDefault="009E04DD" w:rsidP="009E04DD"/>
        </w:tc>
        <w:tc>
          <w:tcPr>
            <w:tcW w:w="1276" w:type="dxa"/>
          </w:tcPr>
          <w:p w14:paraId="61329293" w14:textId="77777777" w:rsidR="009E04DD" w:rsidRDefault="009E04DD" w:rsidP="009E04DD"/>
        </w:tc>
      </w:tr>
      <w:tr w:rsidR="009E04DD" w14:paraId="57270AF5" w14:textId="77777777" w:rsidTr="00B674B0">
        <w:tc>
          <w:tcPr>
            <w:tcW w:w="481" w:type="dxa"/>
          </w:tcPr>
          <w:p w14:paraId="33610878" w14:textId="77777777" w:rsidR="009E04DD" w:rsidRPr="00354E77" w:rsidRDefault="009E04DD" w:rsidP="009E04DD"/>
        </w:tc>
        <w:tc>
          <w:tcPr>
            <w:tcW w:w="3625" w:type="dxa"/>
            <w:vAlign w:val="center"/>
          </w:tcPr>
          <w:p w14:paraId="2C8EC23B" w14:textId="567FD42D" w:rsidR="009E04DD" w:rsidRPr="00354E77" w:rsidRDefault="009E04DD" w:rsidP="009E04DD">
            <w:pPr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3260" w:type="dxa"/>
          </w:tcPr>
          <w:p w14:paraId="7BBE14B7" w14:textId="77777777" w:rsidR="009E04DD" w:rsidRPr="00354E77" w:rsidRDefault="009E04DD" w:rsidP="009E04DD"/>
        </w:tc>
        <w:tc>
          <w:tcPr>
            <w:tcW w:w="851" w:type="dxa"/>
            <w:vAlign w:val="center"/>
          </w:tcPr>
          <w:p w14:paraId="462DB507" w14:textId="738528EC" w:rsidR="009E04DD" w:rsidRPr="00354E77" w:rsidRDefault="009E04DD" w:rsidP="009E04DD">
            <w:pPr>
              <w:jc w:val="center"/>
            </w:pPr>
          </w:p>
        </w:tc>
        <w:tc>
          <w:tcPr>
            <w:tcW w:w="992" w:type="dxa"/>
          </w:tcPr>
          <w:p w14:paraId="6286B3D1" w14:textId="16C73691" w:rsidR="009E04DD" w:rsidRPr="00354E77" w:rsidRDefault="009E04DD" w:rsidP="009E04DD">
            <w:pPr>
              <w:jc w:val="center"/>
            </w:pPr>
          </w:p>
        </w:tc>
        <w:tc>
          <w:tcPr>
            <w:tcW w:w="1276" w:type="dxa"/>
          </w:tcPr>
          <w:p w14:paraId="64AD56CE" w14:textId="77777777" w:rsidR="009E04DD" w:rsidRDefault="009E04DD" w:rsidP="009E04DD"/>
        </w:tc>
        <w:tc>
          <w:tcPr>
            <w:tcW w:w="1134" w:type="dxa"/>
          </w:tcPr>
          <w:p w14:paraId="68E7FCAB" w14:textId="77777777" w:rsidR="009E04DD" w:rsidRDefault="009E04DD" w:rsidP="009E04DD"/>
        </w:tc>
        <w:tc>
          <w:tcPr>
            <w:tcW w:w="1276" w:type="dxa"/>
          </w:tcPr>
          <w:p w14:paraId="26D5122D" w14:textId="77777777" w:rsidR="009E04DD" w:rsidRDefault="009E04DD" w:rsidP="009E04DD"/>
        </w:tc>
      </w:tr>
      <w:tr w:rsidR="009E04DD" w14:paraId="328DBC32" w14:textId="77777777" w:rsidTr="00731ECE">
        <w:tc>
          <w:tcPr>
            <w:tcW w:w="10485" w:type="dxa"/>
            <w:gridSpan w:val="6"/>
          </w:tcPr>
          <w:p w14:paraId="386FDDA7" w14:textId="77777777" w:rsidR="009E04DD" w:rsidRPr="00AB76CC" w:rsidRDefault="009E04DD" w:rsidP="009E04DD">
            <w:pPr>
              <w:jc w:val="right"/>
              <w:rPr>
                <w:b/>
                <w:bCs/>
              </w:rPr>
            </w:pPr>
            <w:r w:rsidRPr="00AB76CC">
              <w:rPr>
                <w:b/>
                <w:bCs/>
              </w:rPr>
              <w:t xml:space="preserve">Razem </w:t>
            </w:r>
          </w:p>
        </w:tc>
        <w:tc>
          <w:tcPr>
            <w:tcW w:w="1134" w:type="dxa"/>
          </w:tcPr>
          <w:p w14:paraId="36972AB5" w14:textId="77777777" w:rsidR="009E04DD" w:rsidRDefault="009E04DD" w:rsidP="009E04DD"/>
        </w:tc>
        <w:tc>
          <w:tcPr>
            <w:tcW w:w="1276" w:type="dxa"/>
          </w:tcPr>
          <w:p w14:paraId="604E2FD4" w14:textId="77777777" w:rsidR="009E04DD" w:rsidRDefault="009E04DD" w:rsidP="009E04DD"/>
        </w:tc>
      </w:tr>
    </w:tbl>
    <w:p w14:paraId="4E5C704B" w14:textId="77777777" w:rsidR="00354E77" w:rsidRDefault="00354E77" w:rsidP="00FB4A5C"/>
    <w:p w14:paraId="0EBDF5BD" w14:textId="298AE584" w:rsidR="00FB4A5C" w:rsidRDefault="00354E77" w:rsidP="00FB4A5C">
      <w:r>
        <w:t xml:space="preserve">Ilość </w:t>
      </w:r>
      <w:proofErr w:type="spellStart"/>
      <w:r>
        <w:t>diluentu</w:t>
      </w:r>
      <w:proofErr w:type="spellEnd"/>
      <w:r>
        <w:t xml:space="preserve">, płynu płuczącego i materiałów kontrolnych, określa wykonawca – właściwe dla wymaganych  55 tys. oznaczeń do analizy moczu.   </w:t>
      </w:r>
    </w:p>
    <w:p w14:paraId="288908DD" w14:textId="77777777" w:rsidR="00FB4A5C" w:rsidRPr="00354E77" w:rsidRDefault="00FB4A5C" w:rsidP="00FB4A5C">
      <w:r w:rsidRPr="00354E77">
        <w:t>Podłączenie analizatora do informatycznego systemu laboratoryjnego na koszt Wykonawcy.</w:t>
      </w:r>
    </w:p>
    <w:p w14:paraId="2C25CF6B" w14:textId="26282617" w:rsidR="00FB4A5C" w:rsidRPr="009E04DD" w:rsidRDefault="00FB4A5C" w:rsidP="00FB4A5C">
      <w:r w:rsidRPr="009E04DD">
        <w:t xml:space="preserve">Zapewnienie udziału w zewnętrznym programie kontroli jakości raz na </w:t>
      </w:r>
      <w:r w:rsidR="009E04DD" w:rsidRPr="009E04DD">
        <w:t>da miesiące</w:t>
      </w:r>
      <w:r w:rsidRPr="009E04DD">
        <w:t>.</w:t>
      </w:r>
    </w:p>
    <w:p w14:paraId="4192FA23" w14:textId="73D49945" w:rsidR="00FB4A5C" w:rsidRPr="00354E77" w:rsidRDefault="00287DAA" w:rsidP="00FB4A5C">
      <w:r w:rsidRPr="00354E77">
        <w:t>Oznaczenia</w:t>
      </w:r>
      <w:r w:rsidR="00FB4A5C" w:rsidRPr="00354E77">
        <w:t>, płyny, a</w:t>
      </w:r>
      <w:r w:rsidRPr="00354E77">
        <w:t xml:space="preserve">nalizator </w:t>
      </w:r>
      <w:r w:rsidR="00FB4A5C" w:rsidRPr="00354E77">
        <w:t>pochodzące od jednego producenta</w:t>
      </w:r>
      <w:r w:rsidRPr="00354E77">
        <w:t>, kontrole zalecane do zaoferowanego aparatu</w:t>
      </w:r>
      <w:r w:rsidR="00FB4A5C" w:rsidRPr="00354E77">
        <w:t>.</w:t>
      </w:r>
    </w:p>
    <w:p w14:paraId="3E92E862" w14:textId="77777777" w:rsidR="00FB4A5C" w:rsidRPr="00354E77" w:rsidRDefault="00FB4A5C" w:rsidP="00FB4A5C">
      <w:r w:rsidRPr="00354E77">
        <w:t>Zewnętrzny czytnik kodów.</w:t>
      </w:r>
    </w:p>
    <w:p w14:paraId="24E9BF03" w14:textId="77777777" w:rsidR="00FB4A5C" w:rsidRPr="00354E77" w:rsidRDefault="00FB4A5C" w:rsidP="00FB4A5C">
      <w:r w:rsidRPr="00354E77">
        <w:t>Kontrola na jednym pomiarze raz dziennie z uwzględnieniem terminu przydatności.</w:t>
      </w:r>
    </w:p>
    <w:p w14:paraId="768DCE53" w14:textId="18E17A2E" w:rsidR="00FB4A5C" w:rsidRDefault="00FB4A5C" w:rsidP="00FB4A5C">
      <w:pPr>
        <w:jc w:val="both"/>
        <w:rPr>
          <w:rFonts w:ascii="Calibri" w:hAnsi="Calibri" w:cs="Calibri"/>
          <w:sz w:val="20"/>
          <w:szCs w:val="20"/>
        </w:rPr>
      </w:pPr>
      <w:r>
        <w:tab/>
      </w:r>
      <w:r>
        <w:tab/>
      </w:r>
      <w:r>
        <w:rPr>
          <w:rFonts w:ascii="Calibri" w:hAnsi="Calibri" w:cs="Calibri"/>
          <w:sz w:val="20"/>
          <w:szCs w:val="20"/>
        </w:rPr>
        <w:tab/>
      </w:r>
    </w:p>
    <w:p w14:paraId="33285A03" w14:textId="2A09CD25" w:rsidR="00FB4A5C" w:rsidRDefault="00FB4A5C" w:rsidP="00FB4A5C">
      <w:pPr>
        <w:rPr>
          <w:rFonts w:eastAsia="Times New Roman" w:cs="Calibri"/>
          <w:sz w:val="20"/>
          <w:szCs w:val="20"/>
          <w:lang w:eastAsia="pl-PL"/>
        </w:rPr>
      </w:pPr>
      <w:r w:rsidRPr="00704EDB">
        <w:rPr>
          <w:rFonts w:ascii="Calibri Light" w:hAnsi="Calibri Light" w:cs="Calibri"/>
          <w:b/>
          <w:bCs/>
          <w:i/>
          <w:iCs/>
          <w:color w:val="FF0000"/>
        </w:rPr>
        <w:t xml:space="preserve">Uwaga! </w:t>
      </w:r>
      <w:r>
        <w:rPr>
          <w:rFonts w:ascii="Calibri Light" w:hAnsi="Calibri Light" w:cs="Calibri"/>
          <w:b/>
          <w:bCs/>
          <w:i/>
          <w:iCs/>
          <w:color w:val="FF0000"/>
        </w:rPr>
        <w:t xml:space="preserve"> Formularz </w:t>
      </w:r>
      <w:r w:rsidRPr="00704EDB">
        <w:rPr>
          <w:rFonts w:ascii="Calibri Light" w:hAnsi="Calibri Light" w:cs="Calibri"/>
          <w:b/>
          <w:bCs/>
          <w:i/>
          <w:iCs/>
          <w:color w:val="FF0000"/>
        </w:rPr>
        <w:t xml:space="preserve">należy podpisać: kwalifikowanym podpisem elektronicznym </w:t>
      </w:r>
      <w:r>
        <w:rPr>
          <w:rFonts w:ascii="Calibri Light" w:hAnsi="Calibri Light" w:cs="Calibri"/>
          <w:b/>
          <w:bCs/>
          <w:i/>
          <w:iCs/>
          <w:color w:val="FF0000"/>
        </w:rPr>
        <w:t xml:space="preserve"> </w:t>
      </w:r>
      <w:r w:rsidRPr="00704EDB">
        <w:rPr>
          <w:rFonts w:ascii="Calibri Light" w:hAnsi="Calibri Light" w:cs="Calibri"/>
          <w:b/>
          <w:bCs/>
          <w:i/>
          <w:iCs/>
          <w:color w:val="FF0000"/>
        </w:rPr>
        <w:t>lub podpisem zaufanym lub podpisem osobistym</w:t>
      </w:r>
    </w:p>
    <w:p w14:paraId="4B90280B" w14:textId="77777777" w:rsidR="008A11C0" w:rsidRDefault="008A11C0" w:rsidP="008A11C0">
      <w:pPr>
        <w:spacing w:after="0" w:line="240" w:lineRule="auto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8A11C0" w14:paraId="2FD29BE4" w14:textId="77777777" w:rsidTr="008A11C0">
        <w:tc>
          <w:tcPr>
            <w:tcW w:w="13994" w:type="dxa"/>
          </w:tcPr>
          <w:p w14:paraId="05E4A675" w14:textId="3F126698" w:rsidR="008A11C0" w:rsidRDefault="008A11C0" w:rsidP="008A11C0">
            <w:r w:rsidRPr="008A11C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 xml:space="preserve">Parametry techniczne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analizatora</w:t>
            </w:r>
          </w:p>
        </w:tc>
      </w:tr>
      <w:tr w:rsidR="008A11C0" w14:paraId="1F030DD2" w14:textId="77777777" w:rsidTr="008A11C0">
        <w:tc>
          <w:tcPr>
            <w:tcW w:w="13994" w:type="dxa"/>
          </w:tcPr>
          <w:p w14:paraId="3DB334F2" w14:textId="77777777" w:rsidR="008A11C0" w:rsidRPr="003C3AD9" w:rsidRDefault="008A11C0" w:rsidP="008A11C0">
            <w:pPr>
              <w:rPr>
                <w:sz w:val="16"/>
                <w:szCs w:val="16"/>
              </w:rPr>
            </w:pPr>
          </w:p>
        </w:tc>
      </w:tr>
      <w:tr w:rsidR="008A11C0" w14:paraId="55C402CE" w14:textId="77777777" w:rsidTr="008A11C0">
        <w:tc>
          <w:tcPr>
            <w:tcW w:w="13994" w:type="dxa"/>
          </w:tcPr>
          <w:p w14:paraId="5335E5F6" w14:textId="4DD07A97" w:rsidR="008A11C0" w:rsidRDefault="008A11C0" w:rsidP="008A11C0"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Analizator hybrydowy do pełnej oceny moczy - moduł do analizy pasków oraz moduł do analizy osadu moczu stanowią jeden analizator z zabudowanym refraktometrem do oznaczeń SG.</w:t>
            </w:r>
          </w:p>
        </w:tc>
      </w:tr>
      <w:tr w:rsidR="008A11C0" w14:paraId="0344D6AD" w14:textId="77777777" w:rsidTr="008A11C0">
        <w:tc>
          <w:tcPr>
            <w:tcW w:w="13994" w:type="dxa"/>
          </w:tcPr>
          <w:p w14:paraId="5BAC7D04" w14:textId="76D1ED89" w:rsidR="008A11C0" w:rsidRDefault="008A11C0" w:rsidP="008A11C0"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Pomiar parametrów fizykochemicznych w oparciu o zmianę natężenia zabarwienia pola testowego i metodę fotometrii odbiciowej.</w:t>
            </w:r>
          </w:p>
        </w:tc>
      </w:tr>
      <w:tr w:rsidR="008A11C0" w14:paraId="41DCDCF7" w14:textId="77777777" w:rsidTr="00FD6AA0">
        <w:tc>
          <w:tcPr>
            <w:tcW w:w="13994" w:type="dxa"/>
            <w:vAlign w:val="center"/>
          </w:tcPr>
          <w:p w14:paraId="02EC649F" w14:textId="4E48710A" w:rsidR="008A11C0" w:rsidRDefault="008A11C0" w:rsidP="008A11C0"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Pomiar ciężaru właściwego w oparciu o metodę refraktometryczną. Nie dopuszcza się odczytu ciężaru SG z paska testowego. Automatyczny pomiar zabarwienia i przejrzystości próbki. Nie dopuszcza odczytu wzrokowego. </w:t>
            </w:r>
          </w:p>
        </w:tc>
      </w:tr>
      <w:tr w:rsidR="008A11C0" w14:paraId="1B2B41F8" w14:textId="77777777" w:rsidTr="00FD6AA0">
        <w:tc>
          <w:tcPr>
            <w:tcW w:w="13994" w:type="dxa"/>
            <w:vAlign w:val="center"/>
          </w:tcPr>
          <w:p w14:paraId="504C537A" w14:textId="402F0AEE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Kompensacja własnego zabarwienia moczu. Zmętnienie próbki oznaczane metodą </w:t>
            </w:r>
            <w:proofErr w:type="spellStart"/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nefelymetryczną</w:t>
            </w:r>
            <w:proofErr w:type="spellEnd"/>
          </w:p>
        </w:tc>
      </w:tr>
      <w:tr w:rsidR="008A11C0" w14:paraId="2B5A9DF0" w14:textId="77777777" w:rsidTr="00FD6AA0">
        <w:tc>
          <w:tcPr>
            <w:tcW w:w="13994" w:type="dxa"/>
            <w:vAlign w:val="center"/>
          </w:tcPr>
          <w:p w14:paraId="28038D90" w14:textId="4091806A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Materiał badany: mocz natywny, bez konieczności wstępnego przygotowywania (wirowania poza aparatem, jak również w aparacie). Aspiracja próbki: bezpośrednio z probówki.</w:t>
            </w:r>
          </w:p>
        </w:tc>
      </w:tr>
      <w:tr w:rsidR="008A11C0" w14:paraId="05036E6D" w14:textId="77777777" w:rsidTr="00FD6AA0">
        <w:tc>
          <w:tcPr>
            <w:tcW w:w="13994" w:type="dxa"/>
            <w:vAlign w:val="center"/>
          </w:tcPr>
          <w:p w14:paraId="4AADB4F1" w14:textId="35ADE1AC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Pojemność załadunkowa pasków: nie mniejsza niż 200 pasków jednorazowo.</w:t>
            </w:r>
          </w:p>
        </w:tc>
      </w:tr>
      <w:tr w:rsidR="008A11C0" w14:paraId="57C7B821" w14:textId="77777777" w:rsidTr="00FD6AA0">
        <w:tc>
          <w:tcPr>
            <w:tcW w:w="13994" w:type="dxa"/>
            <w:vAlign w:val="center"/>
          </w:tcPr>
          <w:p w14:paraId="4D69329E" w14:textId="704C5198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Wymagane parametry fizykochemiczne: kolor moczu, przejrzystość moczu, ciężar właściwy, </w:t>
            </w:r>
            <w:proofErr w:type="spellStart"/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pH</w:t>
            </w:r>
            <w:proofErr w:type="spellEnd"/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, glukoza, białko, krew, urobilinogen, bilirubina, ketony, azotyny, leukocyty, kwas askorbinowy (dodatkowo możliwość oznaczania </w:t>
            </w:r>
            <w:proofErr w:type="spellStart"/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mikroalbumina</w:t>
            </w:r>
            <w:proofErr w:type="spellEnd"/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, kreatynina, wskaźnik ACR, wapń)  </w:t>
            </w:r>
          </w:p>
        </w:tc>
      </w:tr>
      <w:tr w:rsidR="008A11C0" w14:paraId="303F2C73" w14:textId="77777777" w:rsidTr="00FD6AA0">
        <w:tc>
          <w:tcPr>
            <w:tcW w:w="13994" w:type="dxa"/>
            <w:vAlign w:val="center"/>
          </w:tcPr>
          <w:p w14:paraId="3E49CCB6" w14:textId="1AD16F11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Ilościowa analiza co najmniej 30 elementów upostaciowanych w osadzie moczu rozpoznawanych przez analizator w oparciu o kolorowe zdjęcia przy wielopoziomowym ogniskowaniu w moczu natywnym/niewirowanym. Różnicowanie erytrocytów ze względu na kształt, rozmiar i wybarwienie na co najmniej 10 podtypów z prezentacją histogramów. </w:t>
            </w:r>
            <w:proofErr w:type="spellStart"/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Preklasyfikacja</w:t>
            </w:r>
            <w:proofErr w:type="spellEnd"/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bakterii na ziarniaki i pałeczki.</w:t>
            </w:r>
          </w:p>
        </w:tc>
      </w:tr>
      <w:tr w:rsidR="008A11C0" w14:paraId="6A7AF56A" w14:textId="77777777" w:rsidTr="00FD6AA0">
        <w:tc>
          <w:tcPr>
            <w:tcW w:w="13994" w:type="dxa"/>
            <w:vAlign w:val="center"/>
          </w:tcPr>
          <w:p w14:paraId="4099E1DF" w14:textId="08AE3A1E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Analizator umożliwiający wydawanie wyniku badania osadu moczu jednocześnie w ilości/µl oraz w ilości w LPF/HPF.</w:t>
            </w:r>
          </w:p>
        </w:tc>
      </w:tr>
      <w:tr w:rsidR="008A11C0" w14:paraId="5DA98FA1" w14:textId="77777777" w:rsidTr="00FD6AA0">
        <w:tc>
          <w:tcPr>
            <w:tcW w:w="13994" w:type="dxa"/>
            <w:vAlign w:val="center"/>
          </w:tcPr>
          <w:p w14:paraId="6636C17C" w14:textId="0C789E01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Objętość </w:t>
            </w:r>
            <w:proofErr w:type="spellStart"/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aspirowanego</w:t>
            </w:r>
            <w:proofErr w:type="spellEnd"/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moczu umożliwiająca wykonanie badania parametrów fizykochemiczn</w:t>
            </w:r>
            <w:r w:rsidR="00FB4A5C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y</w:t>
            </w: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ch i elementów upostaciowanych nie większa niż 2 ml.</w:t>
            </w:r>
          </w:p>
        </w:tc>
      </w:tr>
      <w:tr w:rsidR="008A11C0" w14:paraId="34C6F92C" w14:textId="77777777" w:rsidTr="00FD6AA0">
        <w:tc>
          <w:tcPr>
            <w:tcW w:w="13994" w:type="dxa"/>
            <w:vAlign w:val="center"/>
          </w:tcPr>
          <w:p w14:paraId="6357A7A3" w14:textId="70DA11D4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Automatyczne płukanie </w:t>
            </w:r>
            <w:proofErr w:type="spellStart"/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pipetora</w:t>
            </w:r>
            <w:proofErr w:type="spellEnd"/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po każdej próbce oraz intensywne mycie po próbkach mętnych.</w:t>
            </w:r>
          </w:p>
        </w:tc>
      </w:tr>
      <w:tr w:rsidR="008A11C0" w14:paraId="2E06A923" w14:textId="77777777" w:rsidTr="00FD6AA0">
        <w:tc>
          <w:tcPr>
            <w:tcW w:w="13994" w:type="dxa"/>
            <w:vAlign w:val="center"/>
          </w:tcPr>
          <w:p w14:paraId="71503B7A" w14:textId="457C2EC5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Wydajność analizatora: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</w:t>
            </w: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nie mniejsza niż 100 testów/h dla pełnego badania moczu (parametry fizykochemiczne i elementy upostaciowane)</w:t>
            </w:r>
          </w:p>
        </w:tc>
      </w:tr>
      <w:tr w:rsidR="008A11C0" w14:paraId="25A4E4B0" w14:textId="77777777" w:rsidTr="00FD6AA0">
        <w:tc>
          <w:tcPr>
            <w:tcW w:w="13994" w:type="dxa"/>
            <w:vAlign w:val="center"/>
          </w:tcPr>
          <w:p w14:paraId="525BC517" w14:textId="14CCB641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Możliwość ręcznej reklasyfikacji zdjęć elementów upostaciowanych moczu oraz edycji parametrów fizykalnych moczu.</w:t>
            </w:r>
          </w:p>
        </w:tc>
      </w:tr>
      <w:tr w:rsidR="008A11C0" w14:paraId="5139F1DA" w14:textId="77777777" w:rsidTr="00FD6AA0">
        <w:tc>
          <w:tcPr>
            <w:tcW w:w="13994" w:type="dxa"/>
            <w:vAlign w:val="center"/>
          </w:tcPr>
          <w:p w14:paraId="31638033" w14:textId="50D21BB1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Możliwość ostatecznej walidacji wyników badania moczu przed wysłaniem do LIS. Dwukierunkowa transmisja danych z laboratoryjnym systemem informatycznym.</w:t>
            </w:r>
          </w:p>
        </w:tc>
      </w:tr>
      <w:tr w:rsidR="008A11C0" w14:paraId="23BA5193" w14:textId="77777777" w:rsidTr="00FD6AA0">
        <w:tc>
          <w:tcPr>
            <w:tcW w:w="13994" w:type="dxa"/>
            <w:vAlign w:val="center"/>
          </w:tcPr>
          <w:p w14:paraId="1B5B96F1" w14:textId="7E5F0ADC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Automatyczny podajnik z pojemnością na co najmniej 50 próbek z możliwością dostawiania statywów w czasie pracy, bez konieczności  wstrzymywania pracy analizatora.</w:t>
            </w:r>
          </w:p>
        </w:tc>
      </w:tr>
      <w:tr w:rsidR="008A11C0" w14:paraId="7D75E5A1" w14:textId="77777777" w:rsidTr="00FD6AA0">
        <w:tc>
          <w:tcPr>
            <w:tcW w:w="13994" w:type="dxa"/>
            <w:vAlign w:val="center"/>
          </w:tcPr>
          <w:p w14:paraId="2E07D4A7" w14:textId="0555AA5C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Wewnętrzny i zewnętrzny czytnik kodów kreskowych, UPS zabezpieczający przed spadkiem napięcia</w:t>
            </w:r>
          </w:p>
        </w:tc>
      </w:tr>
      <w:tr w:rsidR="008A11C0" w14:paraId="04A1D50E" w14:textId="77777777" w:rsidTr="00414EA7">
        <w:tc>
          <w:tcPr>
            <w:tcW w:w="13994" w:type="dxa"/>
            <w:vAlign w:val="bottom"/>
          </w:tcPr>
          <w:p w14:paraId="5E372561" w14:textId="1D3712E2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Kontrola jakości parametrów w oparciu o materiały kontrolne na co najmniej dwóch różnych poziomach.</w:t>
            </w:r>
          </w:p>
        </w:tc>
      </w:tr>
      <w:tr w:rsidR="008A11C0" w14:paraId="6E5D8BD1" w14:textId="77777777" w:rsidTr="00DE1B67">
        <w:tc>
          <w:tcPr>
            <w:tcW w:w="13994" w:type="dxa"/>
            <w:vAlign w:val="center"/>
          </w:tcPr>
          <w:p w14:paraId="6CFAD8D6" w14:textId="07A3932E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Analizator używający wyłącznie rozcieńczalnika, bez dodatkowych odczynników, kuwet pomiarowych.</w:t>
            </w:r>
          </w:p>
        </w:tc>
      </w:tr>
      <w:tr w:rsidR="008A11C0" w14:paraId="1004186F" w14:textId="77777777" w:rsidTr="00DE1B67">
        <w:tc>
          <w:tcPr>
            <w:tcW w:w="13994" w:type="dxa"/>
            <w:vAlign w:val="center"/>
          </w:tcPr>
          <w:p w14:paraId="4830B7B3" w14:textId="35B02F1C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Oprogramowanie pozwalające na zarządzanie pracą przy wykonywaniu badania ogólnego moczu, możliwość sformułowania własnych reguł zarządzania pracą analizatora oraz zarządzania odczynnikami i czynnościami konserwacyjnymi.</w:t>
            </w:r>
          </w:p>
        </w:tc>
      </w:tr>
      <w:tr w:rsidR="008A11C0" w14:paraId="1005C282" w14:textId="77777777" w:rsidTr="00DE1B67">
        <w:tc>
          <w:tcPr>
            <w:tcW w:w="13994" w:type="dxa"/>
            <w:vAlign w:val="center"/>
          </w:tcPr>
          <w:p w14:paraId="41485C32" w14:textId="6852E3CC" w:rsidR="008A11C0" w:rsidRPr="008A11C0" w:rsidRDefault="008A11C0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A11C0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Pamięć łączna pozwalająca na przechowywanie min. 20 000 wyników.</w:t>
            </w:r>
          </w:p>
        </w:tc>
      </w:tr>
      <w:tr w:rsidR="00A5544E" w14:paraId="758E6429" w14:textId="77777777" w:rsidTr="00DE1B67">
        <w:tc>
          <w:tcPr>
            <w:tcW w:w="13994" w:type="dxa"/>
            <w:vAlign w:val="center"/>
          </w:tcPr>
          <w:p w14:paraId="50AF70FC" w14:textId="6598375D" w:rsidR="00A5544E" w:rsidRPr="003C3AD9" w:rsidRDefault="00A5544E" w:rsidP="008A11C0">
            <w:pPr>
              <w:rPr>
                <w:rFonts w:eastAsia="Times New Roman" w:cstheme="minorHAnsi"/>
                <w:color w:val="000000"/>
                <w:kern w:val="0"/>
                <w:lang w:eastAsia="pl-PL"/>
                <w14:ligatures w14:val="none"/>
              </w:rPr>
            </w:pPr>
            <w:r w:rsidRPr="003C3AD9">
              <w:rPr>
                <w:rFonts w:eastAsia="Times New Roman" w:cstheme="minorHAnsi"/>
                <w:color w:val="000000"/>
                <w:kern w:val="0"/>
                <w:lang w:eastAsia="pl-PL"/>
                <w14:ligatures w14:val="none"/>
              </w:rPr>
              <w:lastRenderedPageBreak/>
              <w:t xml:space="preserve">Przeglądy aparatu zgodne z instrukcją i zaleceniami </w:t>
            </w:r>
            <w:r w:rsidR="002B47B5" w:rsidRPr="003C3AD9">
              <w:rPr>
                <w:rFonts w:eastAsia="Times New Roman" w:cstheme="minorHAnsi"/>
                <w:color w:val="000000"/>
                <w:kern w:val="0"/>
                <w:lang w:eastAsia="pl-PL"/>
                <w14:ligatures w14:val="none"/>
              </w:rPr>
              <w:t xml:space="preserve">producenta </w:t>
            </w:r>
            <w:r w:rsidRPr="003C3AD9">
              <w:rPr>
                <w:rFonts w:eastAsia="Times New Roman" w:cstheme="minorHAnsi"/>
                <w:color w:val="000000"/>
                <w:kern w:val="0"/>
                <w:lang w:eastAsia="pl-PL"/>
                <w14:ligatures w14:val="none"/>
              </w:rPr>
              <w:t xml:space="preserve"> </w:t>
            </w:r>
          </w:p>
        </w:tc>
      </w:tr>
      <w:tr w:rsidR="00A5544E" w14:paraId="2F99B142" w14:textId="77777777" w:rsidTr="00DE1B67">
        <w:tc>
          <w:tcPr>
            <w:tcW w:w="13994" w:type="dxa"/>
            <w:vAlign w:val="center"/>
          </w:tcPr>
          <w:p w14:paraId="024040C7" w14:textId="77777777" w:rsidR="00A5544E" w:rsidRPr="003C3AD9" w:rsidRDefault="00A5544E" w:rsidP="008A11C0">
            <w:pPr>
              <w:rPr>
                <w:rFonts w:eastAsia="Times New Roman" w:cstheme="minorHAnsi"/>
                <w:color w:val="000000"/>
                <w:kern w:val="0"/>
                <w:lang w:eastAsia="pl-PL"/>
                <w14:ligatures w14:val="none"/>
              </w:rPr>
            </w:pPr>
            <w:r w:rsidRPr="003C3AD9">
              <w:rPr>
                <w:rFonts w:eastAsia="Times New Roman" w:cstheme="minorHAnsi"/>
                <w:color w:val="000000"/>
                <w:kern w:val="0"/>
                <w:lang w:eastAsia="pl-PL"/>
                <w14:ligatures w14:val="none"/>
              </w:rPr>
              <w:t xml:space="preserve">Kontrola międzynarodowa </w:t>
            </w:r>
          </w:p>
          <w:p w14:paraId="3A91A4D2" w14:textId="008E3D59" w:rsidR="009E04DD" w:rsidRPr="003C3AD9" w:rsidRDefault="009E04DD" w:rsidP="009E04DD">
            <w:pPr>
              <w:rPr>
                <w:rFonts w:cstheme="minorHAnsi"/>
                <w:b/>
                <w:bCs/>
              </w:rPr>
            </w:pPr>
            <w:r w:rsidRPr="003C3AD9">
              <w:rPr>
                <w:rFonts w:cstheme="minorHAnsi"/>
                <w:b/>
                <w:bCs/>
              </w:rPr>
              <w:t>Wykonawca zapewni udział w międzynarodowym programie kontroli zewnątrz</w:t>
            </w:r>
            <w:r w:rsidR="003C3AD9" w:rsidRPr="003C3AD9">
              <w:rPr>
                <w:rFonts w:cstheme="minorHAnsi"/>
                <w:b/>
                <w:bCs/>
              </w:rPr>
              <w:t xml:space="preserve"> </w:t>
            </w:r>
            <w:r w:rsidRPr="003C3AD9">
              <w:rPr>
                <w:rFonts w:cstheme="minorHAnsi"/>
                <w:b/>
                <w:bCs/>
              </w:rPr>
              <w:t>laboratoryjnej przynajmniej raz na 2 miesiące.</w:t>
            </w:r>
          </w:p>
          <w:p w14:paraId="1A5454AA" w14:textId="77777777" w:rsidR="009E04DD" w:rsidRPr="003C3AD9" w:rsidRDefault="009E04DD" w:rsidP="009E04DD">
            <w:pPr>
              <w:rPr>
                <w:rFonts w:cstheme="minorHAnsi"/>
              </w:rPr>
            </w:pPr>
            <w:r w:rsidRPr="003C3AD9">
              <w:rPr>
                <w:rFonts w:cstheme="minorHAnsi"/>
              </w:rPr>
              <w:t xml:space="preserve">Możliwość wysyłania wyników oraz otrzymywania raportów przez Internet. </w:t>
            </w:r>
          </w:p>
          <w:p w14:paraId="6EA83BEE" w14:textId="0CEA79EE" w:rsidR="009E04DD" w:rsidRPr="003C3AD9" w:rsidRDefault="009E04DD" w:rsidP="009E04DD">
            <w:pPr>
              <w:rPr>
                <w:rFonts w:cstheme="minorHAnsi"/>
              </w:rPr>
            </w:pPr>
            <w:r w:rsidRPr="003C3AD9">
              <w:rPr>
                <w:rFonts w:cstheme="minorHAnsi"/>
              </w:rPr>
              <w:t>Możliwość otrzymywania raportów max. do 72h od daty finalnej przez Internet.</w:t>
            </w:r>
          </w:p>
          <w:p w14:paraId="4710176B" w14:textId="77777777" w:rsidR="009E04DD" w:rsidRPr="003C3AD9" w:rsidRDefault="009E04DD" w:rsidP="009E04DD">
            <w:pPr>
              <w:rPr>
                <w:rFonts w:cstheme="minorHAnsi"/>
              </w:rPr>
            </w:pPr>
            <w:r w:rsidRPr="003C3AD9">
              <w:rPr>
                <w:rFonts w:cstheme="minorHAnsi"/>
              </w:rPr>
              <w:t>Zapewnienie opracowania danych zgodnie z częstotliwością podaną w formularzu asortymentowo-cenowym.</w:t>
            </w:r>
          </w:p>
          <w:p w14:paraId="43436E47" w14:textId="77777777" w:rsidR="009E04DD" w:rsidRPr="003C3AD9" w:rsidRDefault="009E04DD" w:rsidP="009E04DD">
            <w:pPr>
              <w:rPr>
                <w:rFonts w:cstheme="minorHAnsi"/>
              </w:rPr>
            </w:pPr>
            <w:r w:rsidRPr="003C3AD9">
              <w:rPr>
                <w:rFonts w:cstheme="minorHAnsi"/>
              </w:rPr>
              <w:t xml:space="preserve">Możliwość monitorowania pracy więcej niż jednego analizatora bez ponoszenia dodatkowych kosztów. </w:t>
            </w:r>
          </w:p>
          <w:p w14:paraId="24E63C07" w14:textId="636F635A" w:rsidR="009E04DD" w:rsidRPr="003C3AD9" w:rsidRDefault="009E04DD" w:rsidP="009E04DD">
            <w:pPr>
              <w:rPr>
                <w:rFonts w:eastAsia="Times New Roman" w:cstheme="minorHAnsi"/>
                <w:color w:val="000000"/>
                <w:kern w:val="0"/>
                <w:lang w:eastAsia="pl-PL"/>
                <w14:ligatures w14:val="none"/>
              </w:rPr>
            </w:pPr>
            <w:r w:rsidRPr="003C3AD9">
              <w:rPr>
                <w:rFonts w:cstheme="minorHAnsi"/>
              </w:rPr>
              <w:t>Dostawa zgodnie z harmonogramem rozpoczęcia kontroli.</w:t>
            </w:r>
          </w:p>
        </w:tc>
      </w:tr>
      <w:tr w:rsidR="00A5544E" w14:paraId="5D72CF84" w14:textId="77777777" w:rsidTr="00DE1B67">
        <w:tc>
          <w:tcPr>
            <w:tcW w:w="13994" w:type="dxa"/>
            <w:vAlign w:val="center"/>
          </w:tcPr>
          <w:p w14:paraId="73FD74B2" w14:textId="2BA6881F" w:rsidR="00A5544E" w:rsidRDefault="00A5544E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Stosowanie odczynników </w:t>
            </w:r>
            <w:r w:rsidR="00354E77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przeznaczonych dla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zaoferowanego analizatora  </w:t>
            </w:r>
          </w:p>
        </w:tc>
      </w:tr>
      <w:tr w:rsidR="002B47B5" w14:paraId="13508FA5" w14:textId="77777777" w:rsidTr="00DE1B67">
        <w:tc>
          <w:tcPr>
            <w:tcW w:w="13994" w:type="dxa"/>
            <w:vAlign w:val="center"/>
          </w:tcPr>
          <w:p w14:paraId="1CBCD553" w14:textId="19A8C041" w:rsidR="002B47B5" w:rsidRDefault="002B47B5" w:rsidP="008A11C0">
            <w:pP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Stół laboratoryjny pod analizator </w:t>
            </w:r>
          </w:p>
        </w:tc>
      </w:tr>
      <w:tr w:rsidR="00A56CAD" w14:paraId="42D246EC" w14:textId="77777777" w:rsidTr="00DE1B67">
        <w:tc>
          <w:tcPr>
            <w:tcW w:w="13994" w:type="dxa"/>
            <w:vAlign w:val="center"/>
          </w:tcPr>
          <w:p w14:paraId="6869EDBC" w14:textId="5B110A12" w:rsidR="00A56CAD" w:rsidRPr="009E04DD" w:rsidRDefault="00A56CAD" w:rsidP="008A11C0">
            <w:pPr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E04DD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Autoryzacja </w:t>
            </w:r>
            <w:r w:rsidR="009E04DD" w:rsidRPr="009E04DD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jako dystrybutor </w:t>
            </w:r>
            <w:r w:rsidRPr="009E04DD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d</w:t>
            </w:r>
            <w:r w:rsidR="00354E77" w:rsidRPr="009E04DD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otycząca</w:t>
            </w:r>
            <w:r w:rsidRPr="009E04DD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</w:t>
            </w:r>
            <w:r w:rsidR="009E04DD" w:rsidRPr="009E04DD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zaoferowanych</w:t>
            </w:r>
            <w:r w:rsidR="00354E77" w:rsidRPr="009E04DD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 </w:t>
            </w:r>
            <w:r w:rsidRPr="009E04DD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odczynników </w:t>
            </w:r>
            <w:r w:rsidR="009E04DD" w:rsidRPr="009E04DD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i analizatora</w:t>
            </w:r>
          </w:p>
        </w:tc>
      </w:tr>
      <w:tr w:rsidR="00354E77" w14:paraId="02883AC9" w14:textId="77777777" w:rsidTr="00DE1B67">
        <w:tc>
          <w:tcPr>
            <w:tcW w:w="13994" w:type="dxa"/>
            <w:vAlign w:val="center"/>
          </w:tcPr>
          <w:p w14:paraId="3817C25D" w14:textId="3861F629" w:rsidR="00354E77" w:rsidRPr="009E04DD" w:rsidRDefault="00354E77" w:rsidP="008A11C0">
            <w:pPr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9E04DD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Posiadanie certyfikatu systemu zarządzania jakością ISO 13485 lub równoważny </w:t>
            </w:r>
          </w:p>
        </w:tc>
      </w:tr>
    </w:tbl>
    <w:p w14:paraId="1DBD9DD6" w14:textId="77777777" w:rsidR="008A11C0" w:rsidRDefault="008A11C0" w:rsidP="008A11C0">
      <w:pPr>
        <w:spacing w:after="0" w:line="240" w:lineRule="auto"/>
      </w:pPr>
    </w:p>
    <w:p w14:paraId="2749829E" w14:textId="77777777" w:rsidR="009E04DD" w:rsidRDefault="009E04DD" w:rsidP="008A11C0">
      <w:pPr>
        <w:spacing w:after="0" w:line="240" w:lineRule="auto"/>
      </w:pPr>
    </w:p>
    <w:p w14:paraId="556FF80E" w14:textId="36D84869" w:rsidR="00A5544E" w:rsidRDefault="009E04DD" w:rsidP="009E04DD">
      <w:pPr>
        <w:spacing w:after="0" w:line="360" w:lineRule="auto"/>
      </w:pPr>
      <w:r>
        <w:t xml:space="preserve">Oświadczamy iż, </w:t>
      </w:r>
    </w:p>
    <w:p w14:paraId="3E66A3F2" w14:textId="5D9DCCA3" w:rsidR="00A5544E" w:rsidRDefault="00A5544E" w:rsidP="008A11C0">
      <w:pPr>
        <w:spacing w:after="0" w:line="240" w:lineRule="auto"/>
      </w:pPr>
      <w:r>
        <w:t xml:space="preserve">Potwierdzamy </w:t>
      </w:r>
      <w:r w:rsidR="009E04DD">
        <w:t xml:space="preserve">(wyżej wymienione) </w:t>
      </w:r>
      <w:r>
        <w:t xml:space="preserve">wymagane parametry, właściwości i możliwości diagnostyczne analizatora </w:t>
      </w:r>
    </w:p>
    <w:p w14:paraId="2A13AC94" w14:textId="77777777" w:rsidR="00A5544E" w:rsidRDefault="00A5544E" w:rsidP="008A11C0">
      <w:pPr>
        <w:spacing w:after="0" w:line="240" w:lineRule="auto"/>
      </w:pPr>
    </w:p>
    <w:p w14:paraId="09B823A1" w14:textId="329A4354" w:rsidR="00A5544E" w:rsidRDefault="00A5544E" w:rsidP="008A11C0">
      <w:pPr>
        <w:spacing w:after="0" w:line="240" w:lineRule="auto"/>
      </w:pPr>
      <w:r>
        <w:t>i oferujemy aparat ……………………………………</w:t>
      </w:r>
      <w:r w:rsidR="009E04DD">
        <w:t>……………………………</w:t>
      </w:r>
      <w:r>
        <w:t>………………………………………………………………..……..</w:t>
      </w:r>
    </w:p>
    <w:p w14:paraId="214600C6" w14:textId="77777777" w:rsidR="00A5544E" w:rsidRDefault="00A5544E" w:rsidP="008A11C0">
      <w:pPr>
        <w:spacing w:after="0" w:line="240" w:lineRule="auto"/>
      </w:pPr>
    </w:p>
    <w:p w14:paraId="7E496006" w14:textId="6315CE2C" w:rsidR="008A11C0" w:rsidRDefault="009E04DD" w:rsidP="008A11C0">
      <w:pPr>
        <w:spacing w:after="0" w:line="240" w:lineRule="auto"/>
      </w:pPr>
      <w:r>
        <w:t xml:space="preserve">            </w:t>
      </w:r>
      <w:r w:rsidR="00A5544E">
        <w:t xml:space="preserve"> (podać model, symbol, producenta – jednoznaczne określenie oferowanego do dzierżawy analizatora)</w:t>
      </w:r>
    </w:p>
    <w:p w14:paraId="4817C724" w14:textId="77777777" w:rsidR="00FB4A5C" w:rsidRDefault="00FB4A5C" w:rsidP="008A11C0">
      <w:pPr>
        <w:spacing w:after="0" w:line="240" w:lineRule="auto"/>
      </w:pPr>
    </w:p>
    <w:p w14:paraId="46673BE1" w14:textId="77777777" w:rsidR="00FB4A5C" w:rsidRDefault="00FB4A5C" w:rsidP="008A11C0">
      <w:pPr>
        <w:spacing w:after="0" w:line="240" w:lineRule="auto"/>
      </w:pPr>
    </w:p>
    <w:p w14:paraId="69F5FF7E" w14:textId="77777777" w:rsidR="00FB4A5C" w:rsidRDefault="00FB4A5C" w:rsidP="008A11C0">
      <w:pPr>
        <w:spacing w:after="0" w:line="240" w:lineRule="auto"/>
      </w:pPr>
    </w:p>
    <w:p w14:paraId="3E734C0A" w14:textId="77777777" w:rsidR="00FB4A5C" w:rsidRDefault="00FB4A5C" w:rsidP="008A11C0">
      <w:pPr>
        <w:spacing w:after="0" w:line="240" w:lineRule="auto"/>
      </w:pPr>
    </w:p>
    <w:p w14:paraId="16D9ABE0" w14:textId="77777777" w:rsidR="00FB4A5C" w:rsidRDefault="00FB4A5C" w:rsidP="00FB4A5C">
      <w:pPr>
        <w:rPr>
          <w:rFonts w:eastAsia="Times New Roman" w:cs="Calibri"/>
          <w:sz w:val="20"/>
          <w:szCs w:val="20"/>
          <w:lang w:eastAsia="pl-PL"/>
        </w:rPr>
      </w:pPr>
      <w:r w:rsidRPr="00704EDB">
        <w:rPr>
          <w:rFonts w:ascii="Calibri Light" w:hAnsi="Calibri Light" w:cs="Calibri"/>
          <w:b/>
          <w:bCs/>
          <w:i/>
          <w:iCs/>
          <w:color w:val="FF0000"/>
        </w:rPr>
        <w:t xml:space="preserve">Uwaga! </w:t>
      </w:r>
      <w:r>
        <w:rPr>
          <w:rFonts w:ascii="Calibri Light" w:hAnsi="Calibri Light" w:cs="Calibri"/>
          <w:b/>
          <w:bCs/>
          <w:i/>
          <w:iCs/>
          <w:color w:val="FF0000"/>
        </w:rPr>
        <w:t xml:space="preserve"> Formularz </w:t>
      </w:r>
      <w:r w:rsidRPr="00704EDB">
        <w:rPr>
          <w:rFonts w:ascii="Calibri Light" w:hAnsi="Calibri Light" w:cs="Calibri"/>
          <w:b/>
          <w:bCs/>
          <w:i/>
          <w:iCs/>
          <w:color w:val="FF0000"/>
        </w:rPr>
        <w:t xml:space="preserve">należy podpisać: kwalifikowanym podpisem elektronicznym </w:t>
      </w:r>
      <w:r>
        <w:rPr>
          <w:rFonts w:ascii="Calibri Light" w:hAnsi="Calibri Light" w:cs="Calibri"/>
          <w:b/>
          <w:bCs/>
          <w:i/>
          <w:iCs/>
          <w:color w:val="FF0000"/>
        </w:rPr>
        <w:t xml:space="preserve"> </w:t>
      </w:r>
      <w:r w:rsidRPr="00704EDB">
        <w:rPr>
          <w:rFonts w:ascii="Calibri Light" w:hAnsi="Calibri Light" w:cs="Calibri"/>
          <w:b/>
          <w:bCs/>
          <w:i/>
          <w:iCs/>
          <w:color w:val="FF0000"/>
        </w:rPr>
        <w:t>lub podpisem zaufanym lub podpisem osobistym</w:t>
      </w:r>
    </w:p>
    <w:sectPr w:rsidR="00FB4A5C" w:rsidSect="009618E9">
      <w:pgSz w:w="16838" w:h="11906" w:orient="landscape"/>
      <w:pgMar w:top="170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DF3"/>
    <w:rsid w:val="00287DAA"/>
    <w:rsid w:val="002B47B5"/>
    <w:rsid w:val="00354E77"/>
    <w:rsid w:val="003C3AD9"/>
    <w:rsid w:val="00524A23"/>
    <w:rsid w:val="00552951"/>
    <w:rsid w:val="00727EC3"/>
    <w:rsid w:val="00755364"/>
    <w:rsid w:val="007826CB"/>
    <w:rsid w:val="00801469"/>
    <w:rsid w:val="008A11C0"/>
    <w:rsid w:val="008D3FCD"/>
    <w:rsid w:val="009618E9"/>
    <w:rsid w:val="009E04DD"/>
    <w:rsid w:val="00A5544E"/>
    <w:rsid w:val="00A56CAD"/>
    <w:rsid w:val="00A6030C"/>
    <w:rsid w:val="00AB76CC"/>
    <w:rsid w:val="00C95A73"/>
    <w:rsid w:val="00D46DF3"/>
    <w:rsid w:val="00DE7D91"/>
    <w:rsid w:val="00E16436"/>
    <w:rsid w:val="00FB4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4511A"/>
  <w15:chartTrackingRefBased/>
  <w15:docId w15:val="{6EB6879E-41D7-4F14-9327-557EAEE8C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6D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6D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6DF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6D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6DF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6D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6D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6D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6D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6DF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6DF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6DF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6DF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6DF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6DF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6DF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6DF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6DF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6D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6D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6D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6D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6D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6DF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6DF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6DF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6DF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6DF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6DF3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A11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3</Pages>
  <Words>814</Words>
  <Characters>4888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Tymoszuk</dc:creator>
  <cp:keywords/>
  <dc:description/>
  <cp:lastModifiedBy>Andrzej Tymoszuk</cp:lastModifiedBy>
  <cp:revision>13</cp:revision>
  <dcterms:created xsi:type="dcterms:W3CDTF">2026-02-18T06:51:00Z</dcterms:created>
  <dcterms:modified xsi:type="dcterms:W3CDTF">2026-02-19T12:24:00Z</dcterms:modified>
</cp:coreProperties>
</file>