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0958F9" w14:textId="77777777" w:rsidR="00CA3B00" w:rsidRDefault="00CA3B00" w:rsidP="00CA3B00">
      <w:pPr>
        <w:spacing w:after="0" w:line="288" w:lineRule="auto"/>
        <w:jc w:val="right"/>
        <w:rPr>
          <w:rFonts w:ascii="Times New Roman" w:eastAsia="Times New Roman" w:hAnsi="Times New Roman" w:cs="Times New Roman"/>
          <w:b/>
          <w:bCs/>
          <w:sz w:val="24"/>
          <w:szCs w:val="24"/>
          <w:lang w:eastAsia="pl-PL"/>
        </w:rPr>
      </w:pPr>
    </w:p>
    <w:p w14:paraId="7EA70D2A" w14:textId="77777777" w:rsidR="00CA3B00" w:rsidRDefault="00CA3B00" w:rsidP="00CA3B00">
      <w:pPr>
        <w:spacing w:after="0" w:line="288" w:lineRule="auto"/>
        <w:jc w:val="right"/>
        <w:rPr>
          <w:rFonts w:ascii="Times New Roman" w:eastAsia="Times New Roman" w:hAnsi="Times New Roman" w:cs="Times New Roman"/>
          <w:b/>
          <w:bCs/>
          <w:sz w:val="24"/>
          <w:szCs w:val="24"/>
          <w:lang w:eastAsia="pl-PL"/>
        </w:rPr>
      </w:pPr>
    </w:p>
    <w:p w14:paraId="69B0F3C0" w14:textId="77777777" w:rsidR="00CA3B00" w:rsidRDefault="00CA3B00" w:rsidP="00CA3B00">
      <w:pPr>
        <w:spacing w:after="0" w:line="288" w:lineRule="auto"/>
        <w:rPr>
          <w:rFonts w:ascii="Times New Roman" w:eastAsia="Times New Roman" w:hAnsi="Times New Roman" w:cs="Times New Roman"/>
          <w:b/>
          <w:bCs/>
          <w:sz w:val="24"/>
          <w:szCs w:val="24"/>
          <w:lang w:eastAsia="pl-PL"/>
        </w:rPr>
      </w:pPr>
    </w:p>
    <w:p w14:paraId="4483F161" w14:textId="77777777" w:rsidR="00CA3B00" w:rsidRPr="00CA3B00" w:rsidRDefault="00CA3B00" w:rsidP="00CA3B00">
      <w:pPr>
        <w:spacing w:after="0" w:line="288" w:lineRule="auto"/>
        <w:jc w:val="right"/>
        <w:rPr>
          <w:rFonts w:ascii="Times New Roman" w:eastAsia="Times New Roman" w:hAnsi="Times New Roman" w:cs="Times New Roman"/>
          <w:b/>
          <w:bCs/>
          <w:sz w:val="24"/>
          <w:szCs w:val="24"/>
          <w:lang w:eastAsia="pl-PL"/>
        </w:rPr>
      </w:pPr>
      <w:r w:rsidRPr="00CA3B00">
        <w:rPr>
          <w:rFonts w:ascii="Times New Roman" w:eastAsia="Times New Roman" w:hAnsi="Times New Roman" w:cs="Times New Roman"/>
          <w:b/>
          <w:bCs/>
          <w:sz w:val="24"/>
          <w:szCs w:val="24"/>
          <w:lang w:eastAsia="pl-PL"/>
        </w:rPr>
        <w:t>ZAŁĄCZNIK NR 1 DO SWZ Nr ZP-261-10</w:t>
      </w:r>
      <w:r>
        <w:rPr>
          <w:rFonts w:ascii="Times New Roman" w:eastAsia="Times New Roman" w:hAnsi="Times New Roman" w:cs="Times New Roman"/>
          <w:b/>
          <w:bCs/>
          <w:sz w:val="24"/>
          <w:szCs w:val="24"/>
          <w:lang w:eastAsia="pl-PL"/>
        </w:rPr>
        <w:t>6</w:t>
      </w:r>
      <w:r w:rsidRPr="00CA3B00">
        <w:rPr>
          <w:rFonts w:ascii="Times New Roman" w:eastAsia="Times New Roman" w:hAnsi="Times New Roman" w:cs="Times New Roman"/>
          <w:b/>
          <w:bCs/>
          <w:sz w:val="24"/>
          <w:szCs w:val="24"/>
          <w:lang w:eastAsia="pl-PL"/>
        </w:rPr>
        <w:t>/2025</w:t>
      </w:r>
    </w:p>
    <w:p w14:paraId="14CFEDE8" w14:textId="77777777" w:rsidR="00CA3B00" w:rsidRPr="00CA3B00" w:rsidRDefault="00CA3B00" w:rsidP="00CA3B00">
      <w:pPr>
        <w:spacing w:after="0" w:line="288" w:lineRule="auto"/>
        <w:jc w:val="right"/>
        <w:rPr>
          <w:rFonts w:ascii="Times New Roman" w:eastAsia="Times New Roman" w:hAnsi="Times New Roman" w:cs="Times New Roman"/>
          <w:b/>
          <w:bCs/>
          <w:sz w:val="24"/>
          <w:szCs w:val="24"/>
          <w:lang w:eastAsia="pl-PL"/>
        </w:rPr>
      </w:pPr>
    </w:p>
    <w:p w14:paraId="07E6A4B1" w14:textId="77777777" w:rsidR="00CA3B00" w:rsidRPr="00CA3B00" w:rsidRDefault="00CA3B00" w:rsidP="00CA3B00">
      <w:pPr>
        <w:keepNext/>
        <w:shd w:val="clear" w:color="auto" w:fill="BFBFBF" w:themeFill="background1" w:themeFillShade="BF"/>
        <w:spacing w:after="0" w:line="288" w:lineRule="auto"/>
        <w:jc w:val="center"/>
        <w:outlineLvl w:val="0"/>
        <w:rPr>
          <w:rFonts w:ascii="Times New Roman" w:eastAsia="Times New Roman" w:hAnsi="Times New Roman" w:cs="Times New Roman"/>
          <w:b/>
          <w:bCs/>
          <w:color w:val="00000A"/>
          <w:sz w:val="28"/>
          <w:szCs w:val="28"/>
          <w:lang w:eastAsia="pl-PL"/>
        </w:rPr>
      </w:pPr>
      <w:r w:rsidRPr="00CA3B00">
        <w:rPr>
          <w:rFonts w:ascii="Times New Roman" w:eastAsia="Times New Roman" w:hAnsi="Times New Roman" w:cs="Times New Roman"/>
          <w:b/>
          <w:bCs/>
          <w:color w:val="00000A"/>
          <w:sz w:val="28"/>
          <w:szCs w:val="28"/>
          <w:lang w:eastAsia="pl-PL"/>
        </w:rPr>
        <w:t>FORMULARZ OFERTOWY</w:t>
      </w:r>
    </w:p>
    <w:p w14:paraId="3648D1C0" w14:textId="77777777" w:rsidR="00CA3B00" w:rsidRPr="00CA3B00" w:rsidRDefault="00CA3B00" w:rsidP="00CA3B00">
      <w:pPr>
        <w:spacing w:after="0" w:line="240" w:lineRule="auto"/>
        <w:jc w:val="both"/>
        <w:rPr>
          <w:rFonts w:ascii="Times New Roman" w:eastAsia="Times New Roman" w:hAnsi="Times New Roman" w:cs="Times New Roman"/>
          <w:b/>
          <w:bCs/>
          <w:sz w:val="24"/>
          <w:szCs w:val="24"/>
          <w:u w:val="single"/>
          <w:lang w:eastAsia="pl-PL"/>
        </w:rPr>
      </w:pPr>
    </w:p>
    <w:p w14:paraId="22A3761D" w14:textId="77777777" w:rsidR="00CA3B00" w:rsidRPr="00CA3B00" w:rsidRDefault="00CA3B00" w:rsidP="00CA3B00">
      <w:pPr>
        <w:spacing w:after="0" w:line="240" w:lineRule="auto"/>
        <w:jc w:val="both"/>
        <w:rPr>
          <w:rFonts w:ascii="Times New Roman" w:eastAsia="Times New Roman" w:hAnsi="Times New Roman" w:cs="Times New Roman"/>
          <w:b/>
          <w:bCs/>
          <w:sz w:val="24"/>
          <w:szCs w:val="24"/>
          <w:u w:val="single"/>
          <w:lang w:eastAsia="pl-PL"/>
        </w:rPr>
      </w:pPr>
      <w:r w:rsidRPr="00CA3B00">
        <w:rPr>
          <w:rFonts w:ascii="Times New Roman" w:eastAsia="Times New Roman" w:hAnsi="Times New Roman" w:cs="Times New Roman"/>
          <w:b/>
          <w:bCs/>
          <w:sz w:val="24"/>
          <w:szCs w:val="24"/>
          <w:u w:val="single"/>
          <w:lang w:eastAsia="pl-PL"/>
        </w:rPr>
        <w:t>Ofertę składam samodzielnie*:</w:t>
      </w:r>
    </w:p>
    <w:p w14:paraId="73F6F552" w14:textId="77777777" w:rsidR="00CA3B00" w:rsidRPr="00CA3B00" w:rsidRDefault="00CA3B00" w:rsidP="00CA3B00">
      <w:pPr>
        <w:keepNext/>
        <w:keepLines/>
        <w:spacing w:after="0" w:line="240" w:lineRule="auto"/>
        <w:outlineLvl w:val="0"/>
        <w:rPr>
          <w:rFonts w:ascii="Times New Roman" w:eastAsia="Times New Roman" w:hAnsi="Times New Roman" w:cs="Times New Roman"/>
          <w:b/>
          <w:bCs/>
          <w:sz w:val="24"/>
          <w:szCs w:val="24"/>
          <w:lang w:eastAsia="pl-PL"/>
        </w:rPr>
      </w:pPr>
    </w:p>
    <w:p w14:paraId="642E533B"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Nazwa wykonawcy  …...........................................................</w:t>
      </w:r>
    </w:p>
    <w:p w14:paraId="603BF5CB"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siedziba (adres)…...............................................................................................</w:t>
      </w:r>
    </w:p>
    <w:p w14:paraId="77515425"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nr tel. wraz z  nr kierunkowym….......................................................................</w:t>
      </w:r>
    </w:p>
    <w:p w14:paraId="061602C3" w14:textId="77777777" w:rsidR="00CA3B00" w:rsidRPr="00CA3B00" w:rsidRDefault="00CA3B00" w:rsidP="00CA3B00">
      <w:pPr>
        <w:spacing w:after="0" w:line="240" w:lineRule="auto"/>
        <w:rPr>
          <w:rFonts w:ascii="Times New Roman" w:eastAsia="Times New Roman" w:hAnsi="Times New Roman" w:cs="Times New Roman"/>
          <w:b/>
          <w:bCs/>
          <w:sz w:val="24"/>
          <w:szCs w:val="24"/>
          <w:lang w:val="en-US" w:eastAsia="pl-PL"/>
        </w:rPr>
      </w:pPr>
      <w:r w:rsidRPr="00CA3B00">
        <w:rPr>
          <w:rFonts w:ascii="Times New Roman" w:eastAsia="Times New Roman" w:hAnsi="Times New Roman" w:cs="Times New Roman"/>
          <w:b/>
          <w:bCs/>
          <w:sz w:val="24"/>
          <w:szCs w:val="24"/>
          <w:lang w:val="en-US" w:eastAsia="pl-PL"/>
        </w:rPr>
        <w:t>E-mail:.............................................................................................</w:t>
      </w:r>
    </w:p>
    <w:p w14:paraId="157494EF" w14:textId="77777777" w:rsidR="00CA3B00" w:rsidRPr="00CA3B00" w:rsidRDefault="00CA3B00" w:rsidP="00CA3B00">
      <w:pPr>
        <w:spacing w:after="0" w:line="240" w:lineRule="auto"/>
        <w:rPr>
          <w:rFonts w:ascii="Times New Roman" w:eastAsia="Times New Roman" w:hAnsi="Times New Roman" w:cs="Times New Roman"/>
          <w:sz w:val="24"/>
          <w:szCs w:val="24"/>
          <w:lang w:val="en-US" w:eastAsia="pl-PL"/>
        </w:rPr>
      </w:pPr>
      <w:r w:rsidRPr="00CA3B00">
        <w:rPr>
          <w:rFonts w:ascii="Times New Roman" w:eastAsiaTheme="minorEastAsia" w:hAnsi="Times New Roman" w:cs="Times New Roman"/>
          <w:sz w:val="24"/>
          <w:szCs w:val="24"/>
          <w:lang w:val="en-US" w:eastAsia="pl-PL"/>
        </w:rPr>
        <w:t>KRS/</w:t>
      </w:r>
      <w:proofErr w:type="spellStart"/>
      <w:r w:rsidRPr="00CA3B00">
        <w:rPr>
          <w:rFonts w:ascii="Times New Roman" w:eastAsiaTheme="minorEastAsia" w:hAnsi="Times New Roman" w:cs="Times New Roman"/>
          <w:sz w:val="24"/>
          <w:szCs w:val="24"/>
          <w:lang w:val="en-US" w:eastAsia="pl-PL"/>
        </w:rPr>
        <w:t>CEiDG</w:t>
      </w:r>
      <w:proofErr w:type="spellEnd"/>
      <w:r w:rsidRPr="00CA3B00">
        <w:rPr>
          <w:rFonts w:ascii="Times New Roman" w:eastAsiaTheme="minorEastAsia" w:hAnsi="Times New Roman" w:cs="Times New Roman"/>
          <w:sz w:val="24"/>
          <w:szCs w:val="24"/>
          <w:lang w:val="en-US" w:eastAsia="pl-PL"/>
        </w:rPr>
        <w:t xml:space="preserve">  ……………………………………………………..</w:t>
      </w:r>
    </w:p>
    <w:p w14:paraId="3482611A" w14:textId="77777777" w:rsidR="00CA3B00" w:rsidRPr="00CA3B00" w:rsidRDefault="00CA3B00" w:rsidP="00CA3B00">
      <w:pPr>
        <w:spacing w:after="0" w:line="240" w:lineRule="auto"/>
        <w:rPr>
          <w:rFonts w:ascii="Times New Roman" w:eastAsia="Times New Roman" w:hAnsi="Times New Roman" w:cs="Times New Roman"/>
          <w:sz w:val="24"/>
          <w:szCs w:val="24"/>
          <w:lang w:val="en-US" w:eastAsia="pl-PL"/>
        </w:rPr>
      </w:pPr>
      <w:r w:rsidRPr="00CA3B00">
        <w:rPr>
          <w:rFonts w:ascii="Times New Roman" w:eastAsia="Times New Roman" w:hAnsi="Times New Roman" w:cs="Times New Roman"/>
          <w:sz w:val="24"/>
          <w:szCs w:val="24"/>
          <w:lang w:val="en-US" w:eastAsia="pl-PL"/>
        </w:rPr>
        <w:t xml:space="preserve">REGON…........................................... </w:t>
      </w:r>
    </w:p>
    <w:p w14:paraId="08D3F8D7"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NIP …...........................................</w:t>
      </w:r>
    </w:p>
    <w:p w14:paraId="46FE1424" w14:textId="77777777" w:rsidR="00CA3B00" w:rsidRPr="00CA3B00" w:rsidRDefault="00CA3B00" w:rsidP="00CA3B00">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pl-PL"/>
        </w:rPr>
      </w:pPr>
    </w:p>
    <w:p w14:paraId="1C578039" w14:textId="77777777" w:rsidR="00CA3B00" w:rsidRPr="00CA3B00" w:rsidRDefault="00CA3B00" w:rsidP="00CA3B00">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Reprezentowany przez:</w:t>
      </w:r>
    </w:p>
    <w:p w14:paraId="63DEC7B2" w14:textId="77777777" w:rsidR="00CA3B00" w:rsidRPr="00CA3B00" w:rsidRDefault="00CA3B00" w:rsidP="00CA3B00">
      <w:pPr>
        <w:widowControl w:val="0"/>
        <w:shd w:val="clear" w:color="auto" w:fill="FFFFFF"/>
        <w:autoSpaceDE w:val="0"/>
        <w:autoSpaceDN w:val="0"/>
        <w:adjustRightInd w:val="0"/>
        <w:spacing w:after="0" w:line="240" w:lineRule="auto"/>
        <w:rPr>
          <w:rFonts w:ascii="Calibri" w:eastAsia="Times New Roman" w:hAnsi="Calibri" w:cs="Times New Roman"/>
          <w:sz w:val="24"/>
          <w:szCs w:val="24"/>
          <w:lang w:eastAsia="pl-PL"/>
        </w:rPr>
      </w:pPr>
    </w:p>
    <w:p w14:paraId="749FF252" w14:textId="77777777" w:rsidR="00CA3B00" w:rsidRPr="00CA3B00" w:rsidRDefault="00CA3B00" w:rsidP="00CA3B00">
      <w:pPr>
        <w:widowControl w:val="0"/>
        <w:shd w:val="clear" w:color="auto" w:fill="FFFFFF"/>
        <w:autoSpaceDE w:val="0"/>
        <w:autoSpaceDN w:val="0"/>
        <w:adjustRightInd w:val="0"/>
        <w:spacing w:after="0" w:line="240" w:lineRule="auto"/>
        <w:rPr>
          <w:rFonts w:ascii="Calibri" w:eastAsia="Times New Roman" w:hAnsi="Calibri" w:cs="Times New Roman"/>
          <w:sz w:val="16"/>
          <w:szCs w:val="16"/>
          <w:lang w:eastAsia="pl-PL"/>
        </w:rPr>
      </w:pPr>
      <w:r w:rsidRPr="00CA3B00">
        <w:rPr>
          <w:rFonts w:ascii="Calibri" w:eastAsia="Times New Roman" w:hAnsi="Calibri" w:cs="Times New Roman"/>
          <w:sz w:val="16"/>
          <w:szCs w:val="16"/>
          <w:lang w:eastAsia="pl-PL"/>
        </w:rPr>
        <w:t>………………………………………………………………………………………………….………………………</w:t>
      </w:r>
    </w:p>
    <w:p w14:paraId="37201AE4" w14:textId="77777777" w:rsidR="00CA3B00" w:rsidRPr="00CA3B00" w:rsidRDefault="00CA3B00" w:rsidP="00CA3B00">
      <w:pPr>
        <w:widowControl w:val="0"/>
        <w:shd w:val="clear" w:color="auto" w:fill="FFFFFF"/>
        <w:autoSpaceDE w:val="0"/>
        <w:autoSpaceDN w:val="0"/>
        <w:adjustRightInd w:val="0"/>
        <w:spacing w:after="0" w:line="240" w:lineRule="auto"/>
        <w:ind w:left="1440"/>
        <w:rPr>
          <w:rFonts w:ascii="Calibri" w:eastAsia="Times New Roman" w:hAnsi="Calibri" w:cs="Times New Roman"/>
          <w:sz w:val="20"/>
          <w:szCs w:val="24"/>
          <w:lang w:eastAsia="pl-PL"/>
        </w:rPr>
      </w:pPr>
      <w:r w:rsidRPr="00CA3B00">
        <w:rPr>
          <w:rFonts w:ascii="Calibri" w:eastAsia="Times New Roman" w:hAnsi="Calibri" w:cs="Times New Roman"/>
          <w:sz w:val="20"/>
          <w:szCs w:val="24"/>
          <w:lang w:eastAsia="pl-PL"/>
        </w:rPr>
        <w:t xml:space="preserve">    (imię, nazwisko)</w:t>
      </w:r>
    </w:p>
    <w:p w14:paraId="65B47444" w14:textId="77777777" w:rsidR="00CA3B00" w:rsidRPr="00CA3B00" w:rsidRDefault="00CA3B00" w:rsidP="00CA3B00">
      <w:pPr>
        <w:widowControl w:val="0"/>
        <w:shd w:val="clear" w:color="auto" w:fill="FFFFFF"/>
        <w:autoSpaceDE w:val="0"/>
        <w:autoSpaceDN w:val="0"/>
        <w:adjustRightInd w:val="0"/>
        <w:spacing w:after="0" w:line="240" w:lineRule="auto"/>
        <w:rPr>
          <w:rFonts w:ascii="Calibri" w:eastAsia="Times New Roman" w:hAnsi="Calibri" w:cs="Times New Roman"/>
          <w:sz w:val="24"/>
          <w:szCs w:val="24"/>
          <w:lang w:eastAsia="pl-PL"/>
        </w:rPr>
      </w:pPr>
    </w:p>
    <w:p w14:paraId="56DD53EE" w14:textId="77777777" w:rsidR="00CA3B00" w:rsidRPr="00CA3B00" w:rsidRDefault="00CA3B00" w:rsidP="00CA3B00">
      <w:pPr>
        <w:widowControl w:val="0"/>
        <w:shd w:val="clear" w:color="auto" w:fill="FFFFFF"/>
        <w:autoSpaceDE w:val="0"/>
        <w:autoSpaceDN w:val="0"/>
        <w:adjustRightInd w:val="0"/>
        <w:spacing w:after="0" w:line="240" w:lineRule="auto"/>
        <w:rPr>
          <w:rFonts w:ascii="Calibri" w:eastAsia="Times New Roman" w:hAnsi="Calibri" w:cs="Times New Roman"/>
          <w:sz w:val="16"/>
          <w:szCs w:val="16"/>
          <w:lang w:eastAsia="pl-PL"/>
        </w:rPr>
      </w:pPr>
      <w:r w:rsidRPr="00CA3B00">
        <w:rPr>
          <w:rFonts w:ascii="Calibri" w:eastAsia="Times New Roman" w:hAnsi="Calibri" w:cs="Times New Roman"/>
          <w:sz w:val="16"/>
          <w:szCs w:val="16"/>
          <w:lang w:eastAsia="pl-PL"/>
        </w:rPr>
        <w:t>………………………………………………………….…………………………………………………………………</w:t>
      </w:r>
    </w:p>
    <w:p w14:paraId="03E9BBA3" w14:textId="77777777" w:rsidR="00CA3B00" w:rsidRPr="00CA3B00" w:rsidRDefault="00CA3B00" w:rsidP="00CA3B00">
      <w:pPr>
        <w:widowControl w:val="0"/>
        <w:shd w:val="clear" w:color="auto" w:fill="FFFFFF"/>
        <w:autoSpaceDE w:val="0"/>
        <w:autoSpaceDN w:val="0"/>
        <w:adjustRightInd w:val="0"/>
        <w:spacing w:after="0" w:line="240" w:lineRule="auto"/>
        <w:ind w:left="720"/>
        <w:rPr>
          <w:rFonts w:ascii="Calibri" w:eastAsia="Times New Roman" w:hAnsi="Calibri" w:cs="Times New Roman"/>
          <w:sz w:val="20"/>
          <w:szCs w:val="24"/>
          <w:lang w:eastAsia="pl-PL"/>
        </w:rPr>
      </w:pPr>
      <w:r w:rsidRPr="00CA3B00">
        <w:rPr>
          <w:rFonts w:ascii="Calibri" w:eastAsia="Times New Roman" w:hAnsi="Calibri" w:cs="Times New Roman"/>
          <w:sz w:val="20"/>
          <w:szCs w:val="24"/>
          <w:lang w:eastAsia="pl-PL"/>
        </w:rPr>
        <w:t xml:space="preserve">          (podstawa do reprezentacji)</w:t>
      </w:r>
    </w:p>
    <w:p w14:paraId="38D01E74" w14:textId="77777777" w:rsidR="00CA3B00" w:rsidRPr="00CA3B00" w:rsidRDefault="00CA3B00" w:rsidP="00CA3B00">
      <w:pPr>
        <w:spacing w:after="0" w:line="240" w:lineRule="auto"/>
        <w:jc w:val="both"/>
        <w:rPr>
          <w:rFonts w:ascii="Times New Roman" w:eastAsia="Times New Roman" w:hAnsi="Times New Roman" w:cs="Times New Roman"/>
          <w:b/>
          <w:bCs/>
          <w:sz w:val="24"/>
          <w:szCs w:val="24"/>
          <w:u w:val="single"/>
          <w:lang w:eastAsia="pl-PL"/>
        </w:rPr>
      </w:pPr>
    </w:p>
    <w:p w14:paraId="232D117F" w14:textId="77777777" w:rsidR="00CA3B00" w:rsidRPr="00CA3B00" w:rsidRDefault="00CA3B00" w:rsidP="00CA3B00">
      <w:pPr>
        <w:spacing w:after="0" w:line="240" w:lineRule="auto"/>
        <w:jc w:val="both"/>
        <w:rPr>
          <w:rFonts w:ascii="Times New Roman" w:eastAsia="Times New Roman" w:hAnsi="Times New Roman" w:cs="Times New Roman"/>
          <w:b/>
          <w:bCs/>
          <w:sz w:val="24"/>
          <w:szCs w:val="24"/>
          <w:u w:val="single"/>
          <w:lang w:eastAsia="pl-PL"/>
        </w:rPr>
      </w:pPr>
      <w:r w:rsidRPr="00CA3B00">
        <w:rPr>
          <w:rFonts w:ascii="Times New Roman" w:eastAsia="Times New Roman" w:hAnsi="Times New Roman" w:cs="Times New Roman"/>
          <w:b/>
          <w:bCs/>
          <w:sz w:val="24"/>
          <w:szCs w:val="24"/>
          <w:u w:val="single"/>
          <w:lang w:eastAsia="pl-PL"/>
        </w:rPr>
        <w:t>Ofertę składam w imieniu Wykonawców wspólnie ubiegających się o udzielenie zamówienia (konsorcjum/spółka cywilna)**</w:t>
      </w:r>
    </w:p>
    <w:p w14:paraId="1305084F" w14:textId="77777777" w:rsidR="00CA3B00" w:rsidRPr="00CA3B00" w:rsidRDefault="00CA3B00" w:rsidP="00CA3B00">
      <w:pPr>
        <w:spacing w:after="0" w:line="240" w:lineRule="auto"/>
        <w:jc w:val="both"/>
        <w:rPr>
          <w:rFonts w:ascii="Times New Roman" w:eastAsia="Times New Roman" w:hAnsi="Times New Roman" w:cs="Times New Roman"/>
          <w:bCs/>
          <w:sz w:val="24"/>
          <w:szCs w:val="24"/>
          <w:lang w:eastAsia="pl-PL"/>
        </w:rPr>
      </w:pPr>
    </w:p>
    <w:p w14:paraId="431C8A01" w14:textId="77777777" w:rsidR="00CA3B00" w:rsidRPr="00CA3B00" w:rsidRDefault="00CA3B00" w:rsidP="00CA3B00">
      <w:pPr>
        <w:spacing w:after="0" w:line="240" w:lineRule="auto"/>
        <w:jc w:val="both"/>
        <w:rPr>
          <w:rFonts w:ascii="Times New Roman" w:eastAsia="Times New Roman" w:hAnsi="Times New Roman" w:cs="Times New Roman"/>
          <w:bCs/>
          <w:sz w:val="24"/>
          <w:szCs w:val="24"/>
          <w:lang w:eastAsia="pl-PL"/>
        </w:rPr>
      </w:pPr>
      <w:r w:rsidRPr="00CA3B00">
        <w:rPr>
          <w:rFonts w:ascii="Times New Roman" w:eastAsia="Times New Roman" w:hAnsi="Times New Roman" w:cs="Times New Roman"/>
          <w:bCs/>
          <w:sz w:val="24"/>
          <w:szCs w:val="24"/>
          <w:lang w:eastAsia="pl-PL"/>
        </w:rPr>
        <w:t xml:space="preserve">Nazwy i siedziby wszystkich Wykonawców wspólnie ubiegających się o udzielenie zamówienia </w:t>
      </w:r>
    </w:p>
    <w:p w14:paraId="38E710E5" w14:textId="77777777" w:rsidR="00CA3B00" w:rsidRPr="00CA3B00" w:rsidRDefault="00CA3B00" w:rsidP="00CA3B00">
      <w:pPr>
        <w:spacing w:after="0" w:line="240" w:lineRule="auto"/>
        <w:jc w:val="both"/>
        <w:rPr>
          <w:rFonts w:ascii="Times New Roman" w:eastAsia="Times New Roman" w:hAnsi="Times New Roman" w:cs="Times New Roman"/>
          <w:b/>
          <w:bCs/>
          <w:sz w:val="24"/>
          <w:szCs w:val="24"/>
          <w:lang w:eastAsia="pl-PL"/>
        </w:rPr>
      </w:pPr>
      <w:r w:rsidRPr="00CA3B00">
        <w:rPr>
          <w:rFonts w:ascii="Times New Roman" w:eastAsia="Times New Roman" w:hAnsi="Times New Roman" w:cs="Times New Roman"/>
          <w:bCs/>
          <w:i/>
          <w:sz w:val="24"/>
          <w:szCs w:val="24"/>
          <w:lang w:eastAsia="pl-PL"/>
        </w:rPr>
        <w:t>*jeżeli dotyczy</w:t>
      </w:r>
      <w:r w:rsidRPr="00CA3B00">
        <w:rPr>
          <w:rFonts w:ascii="Times New Roman" w:eastAsia="Times New Roman" w:hAnsi="Times New Roman" w:cs="Times New Roman"/>
          <w:b/>
          <w:bCs/>
          <w:sz w:val="24"/>
          <w:szCs w:val="24"/>
          <w:lang w:eastAsia="pl-PL"/>
        </w:rPr>
        <w:t xml:space="preserve"> </w:t>
      </w:r>
    </w:p>
    <w:p w14:paraId="137FF471" w14:textId="77777777" w:rsidR="00CA3B00" w:rsidRPr="00CA3B00" w:rsidRDefault="00CA3B00" w:rsidP="00CA3B00">
      <w:pPr>
        <w:spacing w:after="0" w:line="240" w:lineRule="auto"/>
        <w:jc w:val="both"/>
        <w:rPr>
          <w:rFonts w:ascii="Times New Roman" w:eastAsia="Times New Roman" w:hAnsi="Times New Roman" w:cs="Times New Roman"/>
          <w:bCs/>
          <w:sz w:val="24"/>
          <w:szCs w:val="24"/>
          <w:lang w:eastAsia="pl-PL"/>
        </w:rPr>
      </w:pPr>
    </w:p>
    <w:p w14:paraId="2ED13EF6" w14:textId="77777777" w:rsidR="00CA3B00" w:rsidRPr="00CA3B00" w:rsidRDefault="00CA3B00" w:rsidP="00CA3B00">
      <w:pPr>
        <w:spacing w:after="0" w:line="240" w:lineRule="auto"/>
        <w:jc w:val="both"/>
        <w:rPr>
          <w:rFonts w:ascii="Times New Roman" w:eastAsia="Times New Roman" w:hAnsi="Times New Roman" w:cs="Times New Roman"/>
          <w:b/>
          <w:bCs/>
          <w:sz w:val="24"/>
          <w:szCs w:val="24"/>
          <w:lang w:eastAsia="pl-PL"/>
        </w:rPr>
      </w:pPr>
      <w:r w:rsidRPr="00CA3B00">
        <w:rPr>
          <w:rFonts w:ascii="Times New Roman" w:eastAsia="Times New Roman" w:hAnsi="Times New Roman" w:cs="Times New Roman"/>
          <w:b/>
          <w:bCs/>
          <w:sz w:val="24"/>
          <w:szCs w:val="24"/>
          <w:lang w:eastAsia="pl-PL"/>
        </w:rPr>
        <w:t xml:space="preserve">Lider/Wspólnik reprezentujący wszystkich pozostałych wspólników : </w:t>
      </w:r>
    </w:p>
    <w:p w14:paraId="2C6927C7"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Nazwa wykonawcy  …...........................................................</w:t>
      </w:r>
    </w:p>
    <w:p w14:paraId="5927D0E9"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siedziba (adres)…...............................................................................................</w:t>
      </w:r>
    </w:p>
    <w:p w14:paraId="67866FC1"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nr tel. wraz z  nr kierunkowym….......................................................................</w:t>
      </w:r>
    </w:p>
    <w:p w14:paraId="2B7A3BA5" w14:textId="77777777" w:rsidR="00CA3B00" w:rsidRPr="00CA3B00" w:rsidRDefault="00CA3B00" w:rsidP="00CA3B00">
      <w:pPr>
        <w:spacing w:after="0" w:line="240" w:lineRule="auto"/>
        <w:rPr>
          <w:rFonts w:ascii="Times New Roman" w:eastAsia="Times New Roman" w:hAnsi="Times New Roman" w:cs="Times New Roman"/>
          <w:b/>
          <w:bCs/>
          <w:sz w:val="24"/>
          <w:szCs w:val="24"/>
          <w:lang w:val="en-US" w:eastAsia="pl-PL"/>
        </w:rPr>
      </w:pPr>
      <w:r w:rsidRPr="00CA3B00">
        <w:rPr>
          <w:rFonts w:ascii="Times New Roman" w:eastAsia="Times New Roman" w:hAnsi="Times New Roman" w:cs="Times New Roman"/>
          <w:b/>
          <w:bCs/>
          <w:sz w:val="24"/>
          <w:szCs w:val="24"/>
          <w:lang w:val="en-US" w:eastAsia="pl-PL"/>
        </w:rPr>
        <w:t>E-mail:.............................................................................................</w:t>
      </w:r>
    </w:p>
    <w:p w14:paraId="0B4EFE70" w14:textId="77777777" w:rsidR="00CA3B00" w:rsidRPr="00CA3B00" w:rsidRDefault="00CA3B00" w:rsidP="00CA3B00">
      <w:pPr>
        <w:spacing w:after="0" w:line="240" w:lineRule="auto"/>
        <w:rPr>
          <w:rFonts w:ascii="Times New Roman" w:eastAsia="Times New Roman" w:hAnsi="Times New Roman" w:cs="Times New Roman"/>
          <w:sz w:val="24"/>
          <w:szCs w:val="24"/>
          <w:lang w:val="en-US" w:eastAsia="pl-PL"/>
        </w:rPr>
      </w:pPr>
      <w:r w:rsidRPr="00CA3B00">
        <w:rPr>
          <w:rFonts w:ascii="Times New Roman" w:eastAsiaTheme="minorEastAsia" w:hAnsi="Times New Roman" w:cs="Times New Roman"/>
          <w:sz w:val="24"/>
          <w:szCs w:val="24"/>
          <w:lang w:val="en-US" w:eastAsia="pl-PL"/>
        </w:rPr>
        <w:t>KRS/</w:t>
      </w:r>
      <w:proofErr w:type="spellStart"/>
      <w:r w:rsidRPr="00CA3B00">
        <w:rPr>
          <w:rFonts w:ascii="Times New Roman" w:eastAsiaTheme="minorEastAsia" w:hAnsi="Times New Roman" w:cs="Times New Roman"/>
          <w:sz w:val="24"/>
          <w:szCs w:val="24"/>
          <w:lang w:val="en-US" w:eastAsia="pl-PL"/>
        </w:rPr>
        <w:t>CEiDG</w:t>
      </w:r>
      <w:proofErr w:type="spellEnd"/>
      <w:r w:rsidRPr="00CA3B00">
        <w:rPr>
          <w:rFonts w:ascii="Times New Roman" w:eastAsiaTheme="minorEastAsia" w:hAnsi="Times New Roman" w:cs="Times New Roman"/>
          <w:sz w:val="24"/>
          <w:szCs w:val="24"/>
          <w:lang w:val="en-US" w:eastAsia="pl-PL"/>
        </w:rPr>
        <w:t xml:space="preserve">  ……………………………………………………..</w:t>
      </w:r>
    </w:p>
    <w:p w14:paraId="7083CBD4" w14:textId="77777777" w:rsidR="00CA3B00" w:rsidRPr="00CA3B00" w:rsidRDefault="00CA3B00" w:rsidP="00CA3B00">
      <w:pPr>
        <w:spacing w:after="0" w:line="240" w:lineRule="auto"/>
        <w:rPr>
          <w:rFonts w:ascii="Times New Roman" w:eastAsia="Times New Roman" w:hAnsi="Times New Roman" w:cs="Times New Roman"/>
          <w:sz w:val="24"/>
          <w:szCs w:val="24"/>
          <w:lang w:val="en-US" w:eastAsia="pl-PL"/>
        </w:rPr>
      </w:pPr>
      <w:r w:rsidRPr="00CA3B00">
        <w:rPr>
          <w:rFonts w:ascii="Times New Roman" w:eastAsia="Times New Roman" w:hAnsi="Times New Roman" w:cs="Times New Roman"/>
          <w:sz w:val="24"/>
          <w:szCs w:val="24"/>
          <w:lang w:val="en-US" w:eastAsia="pl-PL"/>
        </w:rPr>
        <w:t xml:space="preserve">REGON…........................................... </w:t>
      </w:r>
    </w:p>
    <w:p w14:paraId="0B2F6640"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NIP …...........................................</w:t>
      </w:r>
    </w:p>
    <w:p w14:paraId="34725DD2" w14:textId="77777777" w:rsidR="00CA3B00" w:rsidRPr="00CA3B00" w:rsidRDefault="00CA3B00" w:rsidP="00CA3B00">
      <w:pPr>
        <w:spacing w:after="0" w:line="240" w:lineRule="auto"/>
        <w:jc w:val="both"/>
        <w:rPr>
          <w:rFonts w:ascii="Times New Roman" w:eastAsia="Times New Roman" w:hAnsi="Times New Roman" w:cs="Times New Roman"/>
          <w:b/>
          <w:bCs/>
          <w:sz w:val="24"/>
          <w:szCs w:val="24"/>
          <w:lang w:eastAsia="pl-PL"/>
        </w:rPr>
      </w:pPr>
    </w:p>
    <w:p w14:paraId="22862073" w14:textId="77777777" w:rsidR="00CA3B00" w:rsidRPr="00CA3B00" w:rsidRDefault="00CA3B00" w:rsidP="00CA3B00">
      <w:pPr>
        <w:spacing w:after="0" w:line="240" w:lineRule="auto"/>
        <w:jc w:val="both"/>
        <w:rPr>
          <w:rFonts w:ascii="Times New Roman" w:eastAsia="Times New Roman" w:hAnsi="Times New Roman" w:cs="Times New Roman"/>
          <w:b/>
          <w:bCs/>
          <w:sz w:val="24"/>
          <w:szCs w:val="24"/>
          <w:lang w:eastAsia="pl-PL"/>
        </w:rPr>
      </w:pPr>
      <w:r w:rsidRPr="00CA3B00">
        <w:rPr>
          <w:rFonts w:ascii="Times New Roman" w:eastAsia="Times New Roman" w:hAnsi="Times New Roman" w:cs="Times New Roman"/>
          <w:b/>
          <w:bCs/>
          <w:sz w:val="24"/>
          <w:szCs w:val="24"/>
          <w:lang w:eastAsia="pl-PL"/>
        </w:rPr>
        <w:t>Partnerzy/ Pozostali wspólnicy składający ofertę :</w:t>
      </w:r>
    </w:p>
    <w:p w14:paraId="0E97A97B"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Nazwa wykonawcy  …...........................................................</w:t>
      </w:r>
    </w:p>
    <w:p w14:paraId="6B4D9505"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siedziba (adres)…...............................................................................................</w:t>
      </w:r>
    </w:p>
    <w:p w14:paraId="1A5AC9A5"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nr tel. wraz z  nr kierunkowym….......................................................................</w:t>
      </w:r>
    </w:p>
    <w:p w14:paraId="27F676EA" w14:textId="77777777" w:rsidR="00CA3B00" w:rsidRPr="00CA3B00" w:rsidRDefault="00CA3B00" w:rsidP="00CA3B00">
      <w:pPr>
        <w:spacing w:after="0" w:line="240" w:lineRule="auto"/>
        <w:rPr>
          <w:rFonts w:ascii="Times New Roman" w:eastAsia="Times New Roman" w:hAnsi="Times New Roman" w:cs="Times New Roman"/>
          <w:b/>
          <w:bCs/>
          <w:sz w:val="24"/>
          <w:szCs w:val="24"/>
          <w:lang w:val="en-US" w:eastAsia="pl-PL"/>
        </w:rPr>
      </w:pPr>
      <w:r w:rsidRPr="00CA3B00">
        <w:rPr>
          <w:rFonts w:ascii="Times New Roman" w:eastAsia="Times New Roman" w:hAnsi="Times New Roman" w:cs="Times New Roman"/>
          <w:b/>
          <w:bCs/>
          <w:sz w:val="24"/>
          <w:szCs w:val="24"/>
          <w:lang w:val="en-US" w:eastAsia="pl-PL"/>
        </w:rPr>
        <w:t>E-mail:.............................................................................................</w:t>
      </w:r>
    </w:p>
    <w:p w14:paraId="353CBCC9" w14:textId="77777777" w:rsidR="00CA3B00" w:rsidRPr="00CA3B00" w:rsidRDefault="00CA3B00" w:rsidP="00CA3B00">
      <w:pPr>
        <w:spacing w:after="0" w:line="240" w:lineRule="auto"/>
        <w:rPr>
          <w:rFonts w:ascii="Times New Roman" w:eastAsia="Times New Roman" w:hAnsi="Times New Roman" w:cs="Times New Roman"/>
          <w:sz w:val="24"/>
          <w:szCs w:val="24"/>
          <w:lang w:val="en-US" w:eastAsia="pl-PL"/>
        </w:rPr>
      </w:pPr>
      <w:r w:rsidRPr="00CA3B00">
        <w:rPr>
          <w:rFonts w:ascii="Times New Roman" w:eastAsiaTheme="minorEastAsia" w:hAnsi="Times New Roman" w:cs="Times New Roman"/>
          <w:sz w:val="24"/>
          <w:szCs w:val="24"/>
          <w:lang w:val="en-US" w:eastAsia="pl-PL"/>
        </w:rPr>
        <w:lastRenderedPageBreak/>
        <w:t>KRS/</w:t>
      </w:r>
      <w:proofErr w:type="spellStart"/>
      <w:r w:rsidRPr="00CA3B00">
        <w:rPr>
          <w:rFonts w:ascii="Times New Roman" w:eastAsiaTheme="minorEastAsia" w:hAnsi="Times New Roman" w:cs="Times New Roman"/>
          <w:sz w:val="24"/>
          <w:szCs w:val="24"/>
          <w:lang w:val="en-US" w:eastAsia="pl-PL"/>
        </w:rPr>
        <w:t>CEiDG</w:t>
      </w:r>
      <w:proofErr w:type="spellEnd"/>
      <w:r w:rsidRPr="00CA3B00">
        <w:rPr>
          <w:rFonts w:ascii="Times New Roman" w:eastAsiaTheme="minorEastAsia" w:hAnsi="Times New Roman" w:cs="Times New Roman"/>
          <w:sz w:val="24"/>
          <w:szCs w:val="24"/>
          <w:lang w:val="en-US" w:eastAsia="pl-PL"/>
        </w:rPr>
        <w:t xml:space="preserve">  ……………………………………………………..</w:t>
      </w:r>
    </w:p>
    <w:p w14:paraId="76233353" w14:textId="77777777" w:rsidR="00CA3B00" w:rsidRPr="00CA3B00" w:rsidRDefault="00CA3B00" w:rsidP="00CA3B00">
      <w:pPr>
        <w:spacing w:after="0" w:line="240" w:lineRule="auto"/>
        <w:rPr>
          <w:rFonts w:ascii="Times New Roman" w:eastAsia="Times New Roman" w:hAnsi="Times New Roman" w:cs="Times New Roman"/>
          <w:sz w:val="24"/>
          <w:szCs w:val="24"/>
          <w:lang w:val="en-US" w:eastAsia="pl-PL"/>
        </w:rPr>
      </w:pPr>
      <w:r w:rsidRPr="00CA3B00">
        <w:rPr>
          <w:rFonts w:ascii="Times New Roman" w:eastAsia="Times New Roman" w:hAnsi="Times New Roman" w:cs="Times New Roman"/>
          <w:sz w:val="24"/>
          <w:szCs w:val="24"/>
          <w:lang w:val="en-US" w:eastAsia="pl-PL"/>
        </w:rPr>
        <w:t xml:space="preserve">REGON…........................................... </w:t>
      </w:r>
    </w:p>
    <w:p w14:paraId="3F74DBDB" w14:textId="77777777" w:rsidR="00CA3B00" w:rsidRPr="00CA3B00" w:rsidRDefault="00CA3B00" w:rsidP="00CA3B00">
      <w:pPr>
        <w:spacing w:after="0" w:line="240" w:lineRule="auto"/>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NIP …...........................................</w:t>
      </w:r>
    </w:p>
    <w:p w14:paraId="01233F32" w14:textId="77777777" w:rsidR="00CA3B00" w:rsidRPr="00CA3B00" w:rsidRDefault="00CA3B00" w:rsidP="00CA3B00">
      <w:pPr>
        <w:spacing w:after="0" w:line="240" w:lineRule="auto"/>
        <w:jc w:val="both"/>
        <w:rPr>
          <w:rFonts w:ascii="Times New Roman" w:eastAsia="Times New Roman" w:hAnsi="Times New Roman" w:cs="Times New Roman"/>
          <w:bCs/>
          <w:sz w:val="24"/>
          <w:szCs w:val="24"/>
          <w:lang w:eastAsia="pl-PL"/>
        </w:rPr>
      </w:pPr>
    </w:p>
    <w:p w14:paraId="403C2473" w14:textId="77777777" w:rsidR="00CA3B00" w:rsidRPr="00CA3B00" w:rsidRDefault="00CA3B00" w:rsidP="00CA3B00">
      <w:pPr>
        <w:spacing w:after="0" w:line="240" w:lineRule="auto"/>
        <w:jc w:val="both"/>
        <w:rPr>
          <w:rFonts w:ascii="Times New Roman" w:eastAsia="Times New Roman" w:hAnsi="Times New Roman" w:cs="Times New Roman"/>
          <w:bCs/>
          <w:sz w:val="24"/>
          <w:szCs w:val="24"/>
          <w:lang w:eastAsia="pl-PL"/>
        </w:rPr>
      </w:pPr>
      <w:r w:rsidRPr="00CA3B00">
        <w:rPr>
          <w:rFonts w:ascii="Times New Roman" w:eastAsia="Times New Roman" w:hAnsi="Times New Roman" w:cs="Times New Roman"/>
          <w:bCs/>
          <w:sz w:val="24"/>
          <w:szCs w:val="24"/>
          <w:lang w:eastAsia="pl-PL"/>
        </w:rPr>
        <w:t>Ustanowionym pełnomocnikiem do reprezentowania wykonawców wspólnie ubiegających się o udzielenie zamówienia jest:</w:t>
      </w:r>
    </w:p>
    <w:p w14:paraId="5E4F2DF6" w14:textId="77777777" w:rsidR="00CA3B00" w:rsidRPr="00CA3B00" w:rsidRDefault="00CA3B00" w:rsidP="00CA3B00">
      <w:pPr>
        <w:spacing w:after="0" w:line="240" w:lineRule="auto"/>
        <w:jc w:val="both"/>
        <w:rPr>
          <w:rFonts w:ascii="Times New Roman" w:eastAsia="Times New Roman" w:hAnsi="Times New Roman" w:cs="Times New Roman"/>
          <w:bCs/>
          <w:sz w:val="24"/>
          <w:szCs w:val="24"/>
          <w:lang w:eastAsia="pl-PL"/>
        </w:rPr>
      </w:pPr>
      <w:r w:rsidRPr="00CA3B00">
        <w:rPr>
          <w:rFonts w:ascii="Times New Roman" w:eastAsia="Times New Roman" w:hAnsi="Times New Roman" w:cs="Times New Roman"/>
          <w:bCs/>
          <w:sz w:val="24"/>
          <w:szCs w:val="24"/>
          <w:lang w:eastAsia="pl-PL"/>
        </w:rPr>
        <w:t xml:space="preserve">imię i nazwisko ……………………………………….……… </w:t>
      </w:r>
    </w:p>
    <w:p w14:paraId="1EA32809" w14:textId="77777777" w:rsidR="00CA3B00" w:rsidRPr="00CA3B00" w:rsidRDefault="00CA3B00" w:rsidP="00CA3B00">
      <w:pPr>
        <w:spacing w:after="0" w:line="240" w:lineRule="auto"/>
        <w:jc w:val="both"/>
        <w:rPr>
          <w:rFonts w:ascii="Times New Roman" w:eastAsia="Times New Roman" w:hAnsi="Times New Roman" w:cs="Times New Roman"/>
          <w:bCs/>
          <w:sz w:val="24"/>
          <w:szCs w:val="24"/>
          <w:lang w:eastAsia="pl-PL"/>
        </w:rPr>
      </w:pPr>
      <w:r w:rsidRPr="00CA3B00">
        <w:rPr>
          <w:rFonts w:ascii="Times New Roman" w:eastAsia="Times New Roman" w:hAnsi="Times New Roman" w:cs="Times New Roman"/>
          <w:bCs/>
          <w:sz w:val="24"/>
          <w:szCs w:val="24"/>
          <w:lang w:eastAsia="pl-PL"/>
        </w:rPr>
        <w:t xml:space="preserve">tel. kontaktowy ……………………………… </w:t>
      </w:r>
    </w:p>
    <w:p w14:paraId="7443A9CC" w14:textId="77777777" w:rsidR="00CA3B00" w:rsidRPr="00CA3B00" w:rsidRDefault="00CA3B00" w:rsidP="00CA3B00">
      <w:pPr>
        <w:spacing w:after="0" w:line="240" w:lineRule="auto"/>
        <w:jc w:val="both"/>
        <w:rPr>
          <w:rFonts w:ascii="Times New Roman" w:eastAsia="Times New Roman" w:hAnsi="Times New Roman" w:cs="Times New Roman"/>
          <w:bCs/>
          <w:sz w:val="24"/>
          <w:szCs w:val="24"/>
          <w:lang w:eastAsia="pl-PL"/>
        </w:rPr>
      </w:pPr>
      <w:r w:rsidRPr="00CA3B00">
        <w:rPr>
          <w:rFonts w:ascii="Times New Roman" w:eastAsia="Times New Roman" w:hAnsi="Times New Roman" w:cs="Times New Roman"/>
          <w:bCs/>
          <w:sz w:val="24"/>
          <w:szCs w:val="24"/>
          <w:lang w:eastAsia="pl-PL"/>
        </w:rPr>
        <w:t>e-mail ………..…..………………………</w:t>
      </w:r>
    </w:p>
    <w:p w14:paraId="62D5F0B7" w14:textId="77777777" w:rsidR="00CA3B00" w:rsidRPr="00CA3B00" w:rsidRDefault="00CA3B00" w:rsidP="00CA3B00">
      <w:pPr>
        <w:spacing w:after="0" w:line="240" w:lineRule="auto"/>
        <w:jc w:val="both"/>
        <w:rPr>
          <w:rFonts w:ascii="Times New Roman" w:eastAsia="Times New Roman" w:hAnsi="Times New Roman" w:cs="Times New Roman"/>
          <w:bCs/>
          <w:i/>
          <w:sz w:val="24"/>
          <w:szCs w:val="24"/>
          <w:lang w:eastAsia="pl-PL"/>
        </w:rPr>
      </w:pPr>
      <w:r w:rsidRPr="00CA3B00">
        <w:rPr>
          <w:rFonts w:ascii="Times New Roman" w:eastAsia="Times New Roman" w:hAnsi="Times New Roman" w:cs="Times New Roman"/>
          <w:bCs/>
          <w:i/>
          <w:sz w:val="24"/>
          <w:szCs w:val="24"/>
          <w:lang w:eastAsia="pl-PL"/>
        </w:rPr>
        <w:t>(Pełnomocnictwo w załączeniu)</w:t>
      </w:r>
    </w:p>
    <w:p w14:paraId="44809531" w14:textId="77777777" w:rsidR="00CA3B00" w:rsidRPr="00CA3B00" w:rsidRDefault="00CA3B00" w:rsidP="00CA3B00">
      <w:pPr>
        <w:widowControl w:val="0"/>
        <w:autoSpaceDE w:val="0"/>
        <w:autoSpaceDN w:val="0"/>
        <w:adjustRightInd w:val="0"/>
        <w:spacing w:after="0" w:line="240" w:lineRule="auto"/>
        <w:jc w:val="both"/>
        <w:rPr>
          <w:rFonts w:ascii="Calibri" w:eastAsia="Calibri" w:hAnsi="Calibri" w:cs="Calibri"/>
          <w:sz w:val="24"/>
          <w:szCs w:val="24"/>
          <w:lang w:eastAsia="pl-PL"/>
        </w:rPr>
      </w:pPr>
    </w:p>
    <w:p w14:paraId="13E8442F" w14:textId="77777777" w:rsidR="00CA3B00" w:rsidRPr="00CA3B00" w:rsidRDefault="00CA3B00" w:rsidP="00CA3B00">
      <w:pPr>
        <w:widowControl w:val="0"/>
        <w:autoSpaceDE w:val="0"/>
        <w:autoSpaceDN w:val="0"/>
        <w:adjustRightInd w:val="0"/>
        <w:spacing w:after="0" w:line="240" w:lineRule="auto"/>
        <w:jc w:val="both"/>
        <w:rPr>
          <w:rFonts w:ascii="Calibri" w:eastAsia="Calibri" w:hAnsi="Calibri" w:cs="Calibri"/>
          <w:i/>
          <w:sz w:val="20"/>
          <w:szCs w:val="24"/>
          <w:lang w:eastAsia="pl-PL"/>
        </w:rPr>
      </w:pPr>
      <w:r w:rsidRPr="00CA3B00">
        <w:rPr>
          <w:rFonts w:ascii="Calibri" w:eastAsia="Calibri" w:hAnsi="Calibri" w:cs="Calibri"/>
          <w:i/>
          <w:sz w:val="20"/>
          <w:szCs w:val="24"/>
          <w:lang w:eastAsia="pl-PL"/>
        </w:rPr>
        <w:t>*/**usunąć jeśli nie dotyczy</w:t>
      </w:r>
    </w:p>
    <w:p w14:paraId="508C6836" w14:textId="77777777" w:rsidR="00CA3B00" w:rsidRPr="00CA3B00" w:rsidRDefault="00CA3B00" w:rsidP="00CA3B00">
      <w:pPr>
        <w:rPr>
          <w:rFonts w:ascii="Times New Roman" w:eastAsia="Times New Roman" w:hAnsi="Times New Roman" w:cs="Times New Roman"/>
          <w:sz w:val="24"/>
          <w:szCs w:val="24"/>
          <w:lang w:eastAsia="pl-PL"/>
        </w:rPr>
      </w:pPr>
    </w:p>
    <w:p w14:paraId="3586AEBE" w14:textId="162AE241" w:rsidR="00CA3B00" w:rsidRPr="00CA3B00" w:rsidRDefault="00CA3B00" w:rsidP="00CA3B00">
      <w:pPr>
        <w:spacing w:after="0"/>
        <w:jc w:val="both"/>
        <w:rPr>
          <w:rFonts w:ascii="Times New Roman" w:eastAsia="Times New Roman" w:hAnsi="Times New Roman" w:cs="Times New Roman"/>
          <w:b/>
          <w:sz w:val="24"/>
          <w:szCs w:val="24"/>
          <w:lang w:eastAsia="pl-PL"/>
        </w:rPr>
      </w:pPr>
      <w:r w:rsidRPr="00CA3B00">
        <w:rPr>
          <w:rFonts w:ascii="Times New Roman" w:eastAsia="Times New Roman" w:hAnsi="Times New Roman" w:cs="Times New Roman"/>
          <w:sz w:val="24"/>
          <w:szCs w:val="24"/>
          <w:lang w:eastAsia="pl-PL"/>
        </w:rPr>
        <w:t xml:space="preserve">Nawiązując do ogłoszenia o postępowaniu o udzielenie zamówienia publicznego prowadzonym w trybie podstawowym w wariancie zgodnym z art. 275 pkt </w:t>
      </w:r>
      <w:r w:rsidR="00003C49">
        <w:rPr>
          <w:rFonts w:ascii="Times New Roman" w:eastAsia="Times New Roman" w:hAnsi="Times New Roman" w:cs="Times New Roman"/>
          <w:sz w:val="24"/>
          <w:szCs w:val="24"/>
          <w:lang w:eastAsia="pl-PL"/>
        </w:rPr>
        <w:t>1</w:t>
      </w:r>
      <w:r w:rsidRPr="00CA3B00">
        <w:rPr>
          <w:rFonts w:ascii="Times New Roman" w:eastAsia="Times New Roman" w:hAnsi="Times New Roman" w:cs="Times New Roman"/>
          <w:sz w:val="24"/>
          <w:szCs w:val="24"/>
          <w:lang w:eastAsia="pl-PL"/>
        </w:rPr>
        <w:t xml:space="preserve">) Pzp (tryb podstawowy </w:t>
      </w:r>
      <w:r>
        <w:rPr>
          <w:rFonts w:ascii="Times New Roman" w:eastAsia="Times New Roman" w:hAnsi="Times New Roman" w:cs="Times New Roman"/>
          <w:sz w:val="24"/>
          <w:szCs w:val="24"/>
          <w:lang w:eastAsia="pl-PL"/>
        </w:rPr>
        <w:t>bez</w:t>
      </w:r>
      <w:r w:rsidRPr="00CA3B00">
        <w:rPr>
          <w:rFonts w:ascii="Times New Roman" w:eastAsia="Times New Roman" w:hAnsi="Times New Roman" w:cs="Times New Roman"/>
          <w:sz w:val="24"/>
          <w:szCs w:val="24"/>
          <w:lang w:eastAsia="pl-PL"/>
        </w:rPr>
        <w:t xml:space="preserve"> negocjacji) </w:t>
      </w:r>
      <w:r w:rsidRPr="00CA3B00">
        <w:rPr>
          <w:rFonts w:ascii="Times New Roman" w:eastAsia="Times New Roman" w:hAnsi="Times New Roman" w:cs="Times New Roman"/>
          <w:b/>
          <w:sz w:val="24"/>
          <w:szCs w:val="24"/>
          <w:lang w:eastAsia="pl-PL"/>
        </w:rPr>
        <w:t>znak: ZP-261-10</w:t>
      </w:r>
      <w:r>
        <w:rPr>
          <w:rFonts w:ascii="Times New Roman" w:eastAsia="Times New Roman" w:hAnsi="Times New Roman" w:cs="Times New Roman"/>
          <w:b/>
          <w:sz w:val="24"/>
          <w:szCs w:val="24"/>
          <w:lang w:eastAsia="pl-PL"/>
        </w:rPr>
        <w:t>6</w:t>
      </w:r>
      <w:r w:rsidRPr="00CA3B00">
        <w:rPr>
          <w:rFonts w:ascii="Times New Roman" w:eastAsia="Times New Roman" w:hAnsi="Times New Roman" w:cs="Times New Roman"/>
          <w:b/>
          <w:sz w:val="24"/>
          <w:szCs w:val="24"/>
          <w:lang w:eastAsia="pl-PL"/>
        </w:rPr>
        <w:t>/2025 pn.</w:t>
      </w:r>
    </w:p>
    <w:p w14:paraId="0AEA81AC" w14:textId="77777777" w:rsidR="00CA3B00" w:rsidRPr="00735AAD" w:rsidRDefault="00CA3B00" w:rsidP="00CA3B00">
      <w:pPr>
        <w:shd w:val="clear" w:color="auto" w:fill="FFFFFF" w:themeFill="background1"/>
        <w:tabs>
          <w:tab w:val="left" w:pos="708"/>
        </w:tabs>
        <w:rPr>
          <w:rFonts w:ascii="Times New Roman" w:eastAsiaTheme="minorEastAsia" w:hAnsi="Times New Roman" w:cs="Times New Roman"/>
          <w:b/>
          <w:kern w:val="3"/>
          <w:sz w:val="20"/>
          <w:szCs w:val="20"/>
          <w:lang w:eastAsia="pl-PL"/>
        </w:rPr>
      </w:pPr>
    </w:p>
    <w:p w14:paraId="617D645F" w14:textId="77777777" w:rsidR="00CA3B00" w:rsidRPr="00735AAD" w:rsidRDefault="00CA3B00" w:rsidP="007E4232">
      <w:pPr>
        <w:shd w:val="clear" w:color="auto" w:fill="FFFFFF" w:themeFill="background1"/>
        <w:tabs>
          <w:tab w:val="left" w:pos="708"/>
        </w:tabs>
        <w:jc w:val="both"/>
        <w:rPr>
          <w:rFonts w:ascii="Times New Roman" w:eastAsiaTheme="minorEastAsia" w:hAnsi="Times New Roman" w:cs="Times New Roman"/>
          <w:b/>
          <w:sz w:val="20"/>
          <w:szCs w:val="20"/>
          <w:lang w:eastAsia="pl-PL"/>
        </w:rPr>
      </w:pPr>
      <w:r w:rsidRPr="00735AAD">
        <w:rPr>
          <w:rFonts w:ascii="Times New Roman" w:eastAsiaTheme="minorEastAsia" w:hAnsi="Times New Roman" w:cs="Times New Roman"/>
          <w:b/>
          <w:kern w:val="3"/>
          <w:sz w:val="20"/>
          <w:szCs w:val="20"/>
          <w:lang w:eastAsia="pl-PL"/>
        </w:rPr>
        <w:t>Wdrożenie systemu do elektronicznego obiegu dokumentacji i automatyzacji procesów biznesowych (SEOD) w Uniwersyteckim Szpitalu Klinicznym Nr 1 im. prof. Tadeusza Sokołowskiego PUM w Szczecinie.</w:t>
      </w:r>
    </w:p>
    <w:p w14:paraId="228075E4" w14:textId="6D1BEB9F" w:rsidR="00CA3B00" w:rsidRPr="00735AAD" w:rsidRDefault="00CA3B00" w:rsidP="00CA3B00">
      <w:pPr>
        <w:autoSpaceDN w:val="0"/>
        <w:spacing w:after="0" w:line="240" w:lineRule="auto"/>
        <w:contextualSpacing/>
        <w:jc w:val="both"/>
        <w:rPr>
          <w:rFonts w:ascii="Times New Roman" w:eastAsia="Calibri" w:hAnsi="Times New Roman" w:cs="Times New Roman"/>
          <w:b/>
          <w:sz w:val="20"/>
          <w:szCs w:val="20"/>
        </w:rPr>
      </w:pPr>
      <w:r w:rsidRPr="00735AAD">
        <w:rPr>
          <w:rFonts w:ascii="Times New Roman" w:eastAsia="Calibri" w:hAnsi="Times New Roman" w:cs="Times New Roman"/>
          <w:b/>
          <w:sz w:val="20"/>
          <w:szCs w:val="20"/>
        </w:rPr>
        <w:t>Oferuję realizację przedmiotu zamówienia za kwotę:</w:t>
      </w:r>
      <w:r w:rsidR="007E4232">
        <w:rPr>
          <w:rFonts w:ascii="Times New Roman" w:eastAsia="Calibri" w:hAnsi="Times New Roman" w:cs="Times New Roman"/>
          <w:b/>
          <w:sz w:val="20"/>
          <w:szCs w:val="20"/>
        </w:rPr>
        <w:t xml:space="preserve">  </w:t>
      </w:r>
      <w:bookmarkStart w:id="0" w:name="_GoBack"/>
      <w:bookmarkEnd w:id="0"/>
    </w:p>
    <w:p w14:paraId="35377C74" w14:textId="77777777" w:rsidR="00CA3B00" w:rsidRPr="00735AAD" w:rsidRDefault="00CA3B00" w:rsidP="00CA3B00">
      <w:pPr>
        <w:spacing w:after="0" w:line="240" w:lineRule="auto"/>
        <w:jc w:val="both"/>
        <w:rPr>
          <w:rFonts w:ascii="Times New Roman" w:eastAsia="Calibri" w:hAnsi="Times New Roman" w:cs="Times New Roman"/>
          <w:b/>
          <w:sz w:val="20"/>
          <w:szCs w:val="20"/>
        </w:rPr>
      </w:pPr>
    </w:p>
    <w:p w14:paraId="2CAE32B4" w14:textId="77777777" w:rsidR="00CA3B00" w:rsidRPr="00735AAD" w:rsidRDefault="00CA3B00" w:rsidP="00CA3B00">
      <w:pPr>
        <w:spacing w:after="0" w:line="288" w:lineRule="auto"/>
        <w:ind w:firstLine="284"/>
        <w:rPr>
          <w:rFonts w:ascii="Times New Roman" w:eastAsia="Calibri" w:hAnsi="Times New Roman" w:cs="Times New Roman"/>
          <w:bCs/>
          <w:sz w:val="20"/>
          <w:szCs w:val="20"/>
          <w:lang w:eastAsia="pl-PL"/>
        </w:rPr>
      </w:pPr>
      <w:r w:rsidRPr="00735AAD">
        <w:rPr>
          <w:rFonts w:ascii="Times New Roman" w:eastAsiaTheme="minorEastAsia" w:hAnsi="Times New Roman" w:cs="Times New Roman"/>
          <w:b/>
          <w:bCs/>
          <w:sz w:val="20"/>
          <w:szCs w:val="20"/>
          <w:lang w:eastAsia="pl-PL"/>
        </w:rPr>
        <w:br/>
      </w:r>
      <w:r w:rsidRPr="00735AAD">
        <w:rPr>
          <w:rFonts w:ascii="Times New Roman" w:eastAsia="Calibri" w:hAnsi="Times New Roman" w:cs="Times New Roman"/>
          <w:bCs/>
          <w:sz w:val="20"/>
          <w:szCs w:val="20"/>
          <w:lang w:eastAsia="pl-PL"/>
        </w:rPr>
        <w:t xml:space="preserve">    wartość netto: </w:t>
      </w:r>
      <w:r w:rsidRPr="00735AAD">
        <w:rPr>
          <w:rFonts w:ascii="Times New Roman" w:eastAsia="Calibri" w:hAnsi="Times New Roman" w:cs="Times New Roman"/>
          <w:sz w:val="20"/>
          <w:szCs w:val="20"/>
          <w:lang w:eastAsia="pl-PL"/>
        </w:rPr>
        <w:t>..............................</w:t>
      </w:r>
      <w:r w:rsidRPr="00735AAD">
        <w:rPr>
          <w:rFonts w:ascii="Times New Roman" w:eastAsia="Calibri" w:hAnsi="Times New Roman" w:cs="Times New Roman"/>
          <w:bCs/>
          <w:sz w:val="20"/>
          <w:szCs w:val="20"/>
          <w:lang w:eastAsia="pl-PL"/>
        </w:rPr>
        <w:t xml:space="preserve"> PLN </w:t>
      </w:r>
    </w:p>
    <w:p w14:paraId="31DBDE96" w14:textId="77777777" w:rsidR="00CA3B00" w:rsidRPr="00735AAD" w:rsidRDefault="00CA3B00" w:rsidP="00CA3B00">
      <w:pPr>
        <w:spacing w:after="0" w:line="240" w:lineRule="auto"/>
        <w:rPr>
          <w:rFonts w:ascii="Times New Roman" w:eastAsia="Calibri" w:hAnsi="Times New Roman" w:cs="Times New Roman"/>
          <w:bCs/>
          <w:sz w:val="20"/>
          <w:szCs w:val="20"/>
          <w:lang w:eastAsia="pl-PL"/>
        </w:rPr>
      </w:pPr>
    </w:p>
    <w:p w14:paraId="5AF6E700" w14:textId="77777777" w:rsidR="00CA3B00" w:rsidRPr="00735AAD" w:rsidRDefault="00CA3B00" w:rsidP="00CA3B00">
      <w:pPr>
        <w:spacing w:after="0" w:line="240" w:lineRule="auto"/>
        <w:ind w:firstLine="284"/>
        <w:rPr>
          <w:rFonts w:ascii="Times New Roman" w:eastAsia="Calibri" w:hAnsi="Times New Roman" w:cs="Times New Roman"/>
          <w:bCs/>
          <w:sz w:val="20"/>
          <w:szCs w:val="20"/>
          <w:lang w:eastAsia="pl-PL"/>
        </w:rPr>
      </w:pPr>
      <w:r w:rsidRPr="00735AAD">
        <w:rPr>
          <w:rFonts w:ascii="Times New Roman" w:eastAsia="Calibri" w:hAnsi="Times New Roman" w:cs="Times New Roman"/>
          <w:bCs/>
          <w:sz w:val="20"/>
          <w:szCs w:val="20"/>
          <w:lang w:eastAsia="pl-PL"/>
        </w:rPr>
        <w:t xml:space="preserve">wartość brutto: .......................... PLN </w:t>
      </w:r>
    </w:p>
    <w:p w14:paraId="4D08C1EB" w14:textId="77777777" w:rsidR="00CA3B00" w:rsidRPr="00735AAD" w:rsidRDefault="00CA3B00" w:rsidP="00CA3B00">
      <w:pPr>
        <w:autoSpaceDE w:val="0"/>
        <w:autoSpaceDN w:val="0"/>
        <w:adjustRightInd w:val="0"/>
        <w:spacing w:after="0" w:line="240" w:lineRule="auto"/>
        <w:ind w:firstLine="360"/>
        <w:jc w:val="both"/>
        <w:rPr>
          <w:rFonts w:ascii="Times New Roman" w:hAnsi="Times New Roman" w:cs="Times New Roman"/>
          <w:sz w:val="20"/>
          <w:szCs w:val="20"/>
        </w:rPr>
      </w:pPr>
    </w:p>
    <w:p w14:paraId="640422D2" w14:textId="77777777" w:rsidR="00CA3B00" w:rsidRPr="00735AAD" w:rsidRDefault="00CA3B00" w:rsidP="00CA3B00">
      <w:pPr>
        <w:autoSpaceDE w:val="0"/>
        <w:autoSpaceDN w:val="0"/>
        <w:adjustRightInd w:val="0"/>
        <w:spacing w:after="0" w:line="240" w:lineRule="auto"/>
        <w:ind w:firstLine="360"/>
        <w:jc w:val="both"/>
        <w:rPr>
          <w:rFonts w:ascii="Times New Roman" w:hAnsi="Times New Roman" w:cs="Times New Roman"/>
          <w:sz w:val="20"/>
          <w:szCs w:val="20"/>
        </w:rPr>
      </w:pPr>
    </w:p>
    <w:p w14:paraId="0DB8B2F3" w14:textId="77777777" w:rsidR="00735AAD" w:rsidRPr="00735AAD" w:rsidRDefault="00735AAD" w:rsidP="00735AAD">
      <w:pPr>
        <w:autoSpaceDE w:val="0"/>
        <w:autoSpaceDN w:val="0"/>
        <w:adjustRightInd w:val="0"/>
        <w:spacing w:after="0" w:line="240" w:lineRule="auto"/>
        <w:ind w:firstLine="360"/>
        <w:jc w:val="both"/>
        <w:rPr>
          <w:rFonts w:ascii="Times New Roman" w:hAnsi="Times New Roman" w:cs="Times New Roman"/>
          <w:sz w:val="20"/>
          <w:szCs w:val="20"/>
        </w:rPr>
      </w:pPr>
      <w:r w:rsidRPr="00735AAD">
        <w:rPr>
          <w:rFonts w:ascii="Times New Roman" w:hAnsi="Times New Roman" w:cs="Times New Roman"/>
          <w:sz w:val="20"/>
          <w:szCs w:val="20"/>
        </w:rPr>
        <w:t>Wszędzie tam, gdzie w wymaganiach Zamawiający używa określeń typu „możliwość”, „powinien” w odniesieniu do wymagań SEOD należy to traktować jedynie jako sposób opisania wymagania, które oferowany przez Wykonawcę SEOD musi spełniać w zakresie dostępnych w nim funkcjonalności, cech i możliwości konfiguracji.</w:t>
      </w:r>
    </w:p>
    <w:p w14:paraId="01B5D3E5" w14:textId="77777777" w:rsidR="00735AAD" w:rsidRPr="00735AAD" w:rsidRDefault="00735AAD" w:rsidP="00735AAD">
      <w:pPr>
        <w:autoSpaceDE w:val="0"/>
        <w:autoSpaceDN w:val="0"/>
        <w:adjustRightInd w:val="0"/>
        <w:spacing w:after="0" w:line="240" w:lineRule="auto"/>
        <w:rPr>
          <w:rFonts w:ascii="Times New Roman" w:hAnsi="Times New Roman" w:cs="Times New Roman"/>
          <w:sz w:val="20"/>
          <w:szCs w:val="20"/>
        </w:rPr>
      </w:pPr>
    </w:p>
    <w:p w14:paraId="378EB3D6" w14:textId="77777777" w:rsidR="00735AAD" w:rsidRPr="00735AAD" w:rsidRDefault="00735AAD" w:rsidP="00735AAD">
      <w:pPr>
        <w:pStyle w:val="Akapitzlist"/>
        <w:numPr>
          <w:ilvl w:val="0"/>
          <w:numId w:val="22"/>
        </w:numPr>
        <w:autoSpaceDE w:val="0"/>
        <w:autoSpaceDN w:val="0"/>
        <w:adjustRightInd w:val="0"/>
        <w:spacing w:after="0" w:line="240" w:lineRule="auto"/>
        <w:rPr>
          <w:rFonts w:ascii="Times New Roman" w:hAnsi="Times New Roman" w:cs="Times New Roman"/>
          <w:sz w:val="20"/>
          <w:szCs w:val="20"/>
        </w:rPr>
      </w:pPr>
      <w:r w:rsidRPr="00735AAD">
        <w:rPr>
          <w:rFonts w:ascii="Times New Roman" w:hAnsi="Times New Roman" w:cs="Times New Roman"/>
          <w:sz w:val="20"/>
          <w:szCs w:val="20"/>
        </w:rPr>
        <w:t>Wymagania funkcjonalne SEOD</w:t>
      </w:r>
    </w:p>
    <w:p w14:paraId="7895E2B2" w14:textId="77777777" w:rsidR="00735AAD" w:rsidRPr="00735AAD" w:rsidRDefault="00735AAD" w:rsidP="00735AAD">
      <w:pPr>
        <w:autoSpaceDE w:val="0"/>
        <w:autoSpaceDN w:val="0"/>
        <w:adjustRightInd w:val="0"/>
        <w:spacing w:after="0" w:line="240" w:lineRule="auto"/>
        <w:rPr>
          <w:rFonts w:ascii="Times New Roman" w:hAnsi="Times New Roman" w:cs="Times New Roman"/>
          <w:sz w:val="20"/>
          <w:szCs w:val="20"/>
        </w:rPr>
      </w:pPr>
    </w:p>
    <w:p w14:paraId="2926C239" w14:textId="77777777" w:rsidR="00CA3B00" w:rsidRPr="00CA3B00" w:rsidRDefault="00735AAD" w:rsidP="00735AAD">
      <w:pPr>
        <w:autoSpaceDE w:val="0"/>
        <w:autoSpaceDN w:val="0"/>
        <w:adjustRightInd w:val="0"/>
        <w:spacing w:after="0" w:line="240" w:lineRule="auto"/>
        <w:rPr>
          <w:rFonts w:ascii="Times New Roman" w:hAnsi="Times New Roman" w:cs="Times New Roman"/>
          <w:sz w:val="24"/>
          <w:szCs w:val="24"/>
        </w:rPr>
      </w:pPr>
      <w:r w:rsidRPr="00735AAD">
        <w:rPr>
          <w:rFonts w:ascii="Times New Roman" w:hAnsi="Times New Roman" w:cs="Times New Roman"/>
          <w:sz w:val="20"/>
          <w:szCs w:val="20"/>
        </w:rPr>
        <w:t>Wykonawca w każdym wierszu potwierdza spełnianie wymagań funkcjonalnych oferowanego systemu poprzez zaznaczenie opcji Spełnia. Dodatkowo należy wypełnić wykropkowane miejsca wpisując wymagane przez Zamawiającego</w:t>
      </w:r>
      <w:r>
        <w:rPr>
          <w:rFonts w:ascii="Verdana" w:hAnsi="Verdana" w:cs="Times New Roman"/>
        </w:rPr>
        <w:t xml:space="preserve"> </w:t>
      </w:r>
      <w:r w:rsidRPr="00735AAD">
        <w:rPr>
          <w:rFonts w:ascii="Times New Roman" w:hAnsi="Times New Roman" w:cs="Times New Roman"/>
          <w:sz w:val="20"/>
          <w:szCs w:val="20"/>
        </w:rPr>
        <w:t>informacje.</w:t>
      </w:r>
    </w:p>
    <w:p w14:paraId="4EF5CC6A" w14:textId="77777777" w:rsidR="00CA3B00" w:rsidRDefault="00CA3B00" w:rsidP="00CA3B00">
      <w:pPr>
        <w:autoSpaceDE w:val="0"/>
        <w:autoSpaceDN w:val="0"/>
        <w:adjustRightInd w:val="0"/>
        <w:spacing w:after="0" w:line="240" w:lineRule="auto"/>
        <w:rPr>
          <w:rFonts w:ascii="Times New Roman" w:hAnsi="Times New Roman" w:cs="Times New Roman"/>
          <w:sz w:val="24"/>
          <w:szCs w:val="24"/>
        </w:rPr>
      </w:pPr>
    </w:p>
    <w:tbl>
      <w:tblPr>
        <w:tblW w:w="5002" w:type="pct"/>
        <w:tblInd w:w="-5" w:type="dxa"/>
        <w:tblLayout w:type="fixed"/>
        <w:tblCellMar>
          <w:left w:w="10" w:type="dxa"/>
          <w:right w:w="10" w:type="dxa"/>
        </w:tblCellMar>
        <w:tblLook w:val="0000" w:firstRow="0" w:lastRow="0" w:firstColumn="0" w:lastColumn="0" w:noHBand="0" w:noVBand="0"/>
      </w:tblPr>
      <w:tblGrid>
        <w:gridCol w:w="885"/>
        <w:gridCol w:w="7179"/>
        <w:gridCol w:w="1090"/>
      </w:tblGrid>
      <w:tr w:rsidR="00735AAD" w:rsidRPr="00735AAD" w14:paraId="64E68D4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shd w:val="clear" w:color="auto" w:fill="00B0F0"/>
            <w:tcMar>
              <w:top w:w="0" w:type="dxa"/>
              <w:left w:w="70" w:type="dxa"/>
              <w:bottom w:w="0" w:type="dxa"/>
              <w:right w:w="70" w:type="dxa"/>
            </w:tcMar>
            <w:vAlign w:val="center"/>
          </w:tcPr>
          <w:p w14:paraId="46AFD1D4" w14:textId="77777777" w:rsidR="00735AAD" w:rsidRPr="00735AAD" w:rsidRDefault="00735AAD" w:rsidP="00735AAD">
            <w:pPr>
              <w:autoSpaceDE w:val="0"/>
              <w:autoSpaceDN w:val="0"/>
              <w:adjustRightInd w:val="0"/>
              <w:spacing w:after="0" w:line="240" w:lineRule="auto"/>
              <w:jc w:val="center"/>
              <w:rPr>
                <w:rFonts w:ascii="Times New Roman" w:hAnsi="Times New Roman" w:cs="Times New Roman"/>
                <w:b/>
                <w:color w:val="000000"/>
                <w:sz w:val="14"/>
                <w:szCs w:val="14"/>
              </w:rPr>
            </w:pPr>
            <w:r w:rsidRPr="00735AAD">
              <w:rPr>
                <w:rFonts w:ascii="Times New Roman" w:eastAsia="Calibri" w:hAnsi="Times New Roman" w:cs="Times New Roman"/>
                <w:b/>
                <w:sz w:val="14"/>
                <w:szCs w:val="14"/>
              </w:rPr>
              <w:t>Numer</w:t>
            </w:r>
          </w:p>
          <w:p w14:paraId="62118B41" w14:textId="77777777" w:rsidR="00735AAD" w:rsidRPr="00735AAD" w:rsidRDefault="00735AAD" w:rsidP="00735AAD">
            <w:pPr>
              <w:autoSpaceDN w:val="0"/>
              <w:spacing w:after="0" w:line="254" w:lineRule="auto"/>
              <w:jc w:val="center"/>
              <w:rPr>
                <w:rFonts w:ascii="Times New Roman" w:eastAsia="Calibri" w:hAnsi="Times New Roman" w:cs="Times New Roman"/>
                <w:b/>
                <w:sz w:val="18"/>
                <w:szCs w:val="18"/>
              </w:rPr>
            </w:pPr>
            <w:r w:rsidRPr="00735AAD">
              <w:rPr>
                <w:rFonts w:ascii="Times New Roman" w:eastAsia="Calibri" w:hAnsi="Times New Roman" w:cs="Times New Roman"/>
                <w:b/>
                <w:sz w:val="14"/>
                <w:szCs w:val="14"/>
              </w:rPr>
              <w:t>parametru</w:t>
            </w:r>
          </w:p>
        </w:tc>
        <w:tc>
          <w:tcPr>
            <w:tcW w:w="8221" w:type="dxa"/>
            <w:tcBorders>
              <w:top w:val="single" w:sz="4" w:space="0" w:color="000000"/>
              <w:left w:val="single" w:sz="4" w:space="0" w:color="000000"/>
              <w:bottom w:val="single" w:sz="4" w:space="0" w:color="000000"/>
              <w:right w:val="single" w:sz="4" w:space="0" w:color="000000"/>
            </w:tcBorders>
            <w:shd w:val="clear" w:color="auto" w:fill="00B0F0"/>
            <w:tcMar>
              <w:top w:w="0" w:type="dxa"/>
              <w:left w:w="70" w:type="dxa"/>
              <w:bottom w:w="0" w:type="dxa"/>
              <w:right w:w="70" w:type="dxa"/>
            </w:tcMar>
            <w:vAlign w:val="center"/>
          </w:tcPr>
          <w:p w14:paraId="56182344" w14:textId="77777777" w:rsidR="00735AAD" w:rsidRPr="00735AAD" w:rsidRDefault="00735AAD" w:rsidP="00735AAD">
            <w:pPr>
              <w:autoSpaceDN w:val="0"/>
              <w:spacing w:after="0" w:line="254" w:lineRule="auto"/>
              <w:jc w:val="center"/>
              <w:rPr>
                <w:rFonts w:ascii="Times New Roman" w:eastAsia="Calibri" w:hAnsi="Times New Roman" w:cs="Times New Roman"/>
                <w:b/>
                <w:sz w:val="18"/>
                <w:szCs w:val="18"/>
              </w:rPr>
            </w:pPr>
            <w:r w:rsidRPr="00735AAD">
              <w:rPr>
                <w:rFonts w:ascii="Times New Roman" w:eastAsia="Calibri" w:hAnsi="Times New Roman" w:cs="Times New Roman"/>
                <w:b/>
              </w:rPr>
              <w:t>Wymagania funkcjonalne SEOD</w:t>
            </w:r>
          </w:p>
        </w:tc>
        <w:tc>
          <w:tcPr>
            <w:tcW w:w="1246" w:type="dxa"/>
            <w:tcBorders>
              <w:top w:val="single" w:sz="4" w:space="0" w:color="000000"/>
              <w:left w:val="single" w:sz="4" w:space="0" w:color="000000"/>
              <w:bottom w:val="single" w:sz="4" w:space="0" w:color="000000"/>
              <w:right w:val="single" w:sz="4" w:space="0" w:color="000000"/>
            </w:tcBorders>
            <w:shd w:val="clear" w:color="auto" w:fill="00B0F0"/>
            <w:vAlign w:val="center"/>
          </w:tcPr>
          <w:p w14:paraId="770DBBB2" w14:textId="77777777" w:rsidR="00735AAD" w:rsidRPr="00735AAD" w:rsidRDefault="00735AAD" w:rsidP="00735AAD">
            <w:pPr>
              <w:autoSpaceDN w:val="0"/>
              <w:spacing w:after="0" w:line="254" w:lineRule="auto"/>
              <w:jc w:val="center"/>
              <w:rPr>
                <w:rFonts w:ascii="Times New Roman" w:eastAsia="Calibri" w:hAnsi="Times New Roman" w:cs="Times New Roman"/>
                <w:b/>
                <w:sz w:val="18"/>
                <w:szCs w:val="18"/>
              </w:rPr>
            </w:pPr>
            <w:r w:rsidRPr="00735AAD">
              <w:rPr>
                <w:rFonts w:ascii="Times New Roman" w:eastAsia="Calibri" w:hAnsi="Times New Roman" w:cs="Times New Roman"/>
                <w:b/>
                <w:sz w:val="14"/>
                <w:szCs w:val="14"/>
              </w:rPr>
              <w:t>Parametry oferowanego systemu</w:t>
            </w:r>
          </w:p>
        </w:tc>
      </w:tr>
      <w:tr w:rsidR="00735AAD" w:rsidRPr="00735AAD" w14:paraId="779193C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shd w:val="clear" w:color="auto" w:fill="00B0F0"/>
            <w:tcMar>
              <w:top w:w="0" w:type="dxa"/>
              <w:left w:w="70" w:type="dxa"/>
              <w:bottom w:w="0" w:type="dxa"/>
              <w:right w:w="70" w:type="dxa"/>
            </w:tcMar>
            <w:vAlign w:val="center"/>
          </w:tcPr>
          <w:p w14:paraId="7BC5DE89" w14:textId="77777777" w:rsidR="00735AAD" w:rsidRPr="00735AAD" w:rsidRDefault="00735AAD" w:rsidP="00735AAD">
            <w:pPr>
              <w:autoSpaceDE w:val="0"/>
              <w:autoSpaceDN w:val="0"/>
              <w:adjustRightInd w:val="0"/>
              <w:spacing w:after="0" w:line="240"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1</w:t>
            </w:r>
          </w:p>
        </w:tc>
        <w:tc>
          <w:tcPr>
            <w:tcW w:w="8221" w:type="dxa"/>
            <w:tcBorders>
              <w:top w:val="single" w:sz="4" w:space="0" w:color="000000"/>
              <w:left w:val="single" w:sz="4" w:space="0" w:color="000000"/>
              <w:bottom w:val="single" w:sz="4" w:space="0" w:color="000000"/>
              <w:right w:val="single" w:sz="4" w:space="0" w:color="000000"/>
            </w:tcBorders>
            <w:shd w:val="clear" w:color="auto" w:fill="00B0F0"/>
            <w:tcMar>
              <w:top w:w="0" w:type="dxa"/>
              <w:left w:w="70" w:type="dxa"/>
              <w:bottom w:w="0" w:type="dxa"/>
              <w:right w:w="70" w:type="dxa"/>
            </w:tcMar>
            <w:vAlign w:val="center"/>
          </w:tcPr>
          <w:p w14:paraId="70F72B7F" w14:textId="77777777" w:rsidR="00735AAD" w:rsidRPr="00735AAD" w:rsidRDefault="00735AAD" w:rsidP="00735AAD">
            <w:pPr>
              <w:autoSpaceDN w:val="0"/>
              <w:spacing w:after="0" w:line="254" w:lineRule="auto"/>
              <w:jc w:val="center"/>
              <w:rPr>
                <w:rFonts w:ascii="Times New Roman" w:eastAsia="Calibri" w:hAnsi="Times New Roman" w:cs="Times New Roman"/>
                <w:b/>
              </w:rPr>
            </w:pPr>
            <w:r w:rsidRPr="00735AAD">
              <w:rPr>
                <w:rFonts w:ascii="Times New Roman" w:eastAsia="Calibri" w:hAnsi="Times New Roman" w:cs="Times New Roman"/>
                <w:b/>
                <w:sz w:val="14"/>
                <w:szCs w:val="14"/>
              </w:rPr>
              <w:t>2</w:t>
            </w:r>
          </w:p>
        </w:tc>
        <w:tc>
          <w:tcPr>
            <w:tcW w:w="1246" w:type="dxa"/>
            <w:tcBorders>
              <w:top w:val="single" w:sz="4" w:space="0" w:color="000000"/>
              <w:left w:val="single" w:sz="4" w:space="0" w:color="000000"/>
              <w:bottom w:val="single" w:sz="4" w:space="0" w:color="000000"/>
              <w:right w:val="single" w:sz="4" w:space="0" w:color="000000"/>
            </w:tcBorders>
            <w:shd w:val="clear" w:color="auto" w:fill="00B0F0"/>
            <w:vAlign w:val="center"/>
          </w:tcPr>
          <w:p w14:paraId="554C9F8C" w14:textId="77777777" w:rsidR="00735AAD" w:rsidRPr="00735AAD" w:rsidRDefault="00735AAD" w:rsidP="00735AAD">
            <w:pPr>
              <w:autoSpaceDN w:val="0"/>
              <w:spacing w:after="0" w:line="254"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3</w:t>
            </w:r>
          </w:p>
        </w:tc>
      </w:tr>
      <w:tr w:rsidR="00735AAD" w:rsidRPr="00735AAD" w14:paraId="7B634D40"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26E0066D" w14:textId="77777777" w:rsidR="00735AAD" w:rsidRPr="00735AAD" w:rsidRDefault="00735AAD" w:rsidP="00735AAD">
            <w:pPr>
              <w:pStyle w:val="Bezodstpw"/>
              <w:jc w:val="center"/>
              <w:rPr>
                <w:rFonts w:ascii="Times New Roman" w:eastAsia="MS Gothic" w:hAnsi="Times New Roman" w:cs="Times New Roman"/>
                <w:b/>
              </w:rPr>
            </w:pPr>
            <w:r w:rsidRPr="00735AAD">
              <w:rPr>
                <w:rFonts w:ascii="Times New Roman" w:hAnsi="Times New Roman" w:cs="Times New Roman"/>
                <w:b/>
              </w:rPr>
              <w:t>Wymagania ogólne</w:t>
            </w:r>
          </w:p>
        </w:tc>
      </w:tr>
      <w:tr w:rsidR="00735AAD" w:rsidRPr="00735AAD" w14:paraId="0D17BD6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B977F4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FB4193"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Oprogramowanie musi posiadać architekturę trójwarstwową, złożoną z:</w:t>
            </w:r>
          </w:p>
          <w:p w14:paraId="5B0FA2BB" w14:textId="77777777" w:rsidR="00735AAD" w:rsidRPr="00735AAD" w:rsidRDefault="00735AAD" w:rsidP="00735AAD">
            <w:pPr>
              <w:pStyle w:val="Akapitzlist"/>
              <w:numPr>
                <w:ilvl w:val="0"/>
                <w:numId w:val="12"/>
              </w:numPr>
              <w:autoSpaceDN w:val="0"/>
              <w:spacing w:after="0" w:line="254" w:lineRule="auto"/>
              <w:jc w:val="both"/>
              <w:rPr>
                <w:rFonts w:ascii="Times New Roman" w:hAnsi="Times New Roman" w:cs="Times New Roman"/>
              </w:rPr>
            </w:pPr>
            <w:r w:rsidRPr="00735AAD">
              <w:rPr>
                <w:rFonts w:ascii="Times New Roman" w:hAnsi="Times New Roman" w:cs="Times New Roman"/>
              </w:rPr>
              <w:t>serwera aplikacji;</w:t>
            </w:r>
          </w:p>
          <w:p w14:paraId="01E2C35E" w14:textId="77777777" w:rsidR="00735AAD" w:rsidRPr="00735AAD" w:rsidRDefault="00735AAD" w:rsidP="00735AAD">
            <w:pPr>
              <w:pStyle w:val="Akapitzlist"/>
              <w:numPr>
                <w:ilvl w:val="0"/>
                <w:numId w:val="12"/>
              </w:numPr>
              <w:autoSpaceDN w:val="0"/>
              <w:spacing w:after="0" w:line="254" w:lineRule="auto"/>
              <w:jc w:val="both"/>
              <w:rPr>
                <w:rFonts w:ascii="Times New Roman" w:hAnsi="Times New Roman" w:cs="Times New Roman"/>
              </w:rPr>
            </w:pPr>
            <w:r w:rsidRPr="00735AAD">
              <w:rPr>
                <w:rFonts w:ascii="Times New Roman" w:hAnsi="Times New Roman" w:cs="Times New Roman"/>
              </w:rPr>
              <w:t>elementu klienckiego funkcjonującego w dowolnej, ogólnodostępnej przeglądarce internetowej;</w:t>
            </w:r>
          </w:p>
          <w:p w14:paraId="736DA20C" w14:textId="77777777" w:rsidR="00735AAD" w:rsidRPr="00735AAD" w:rsidRDefault="00735AAD" w:rsidP="00735AAD">
            <w:pPr>
              <w:pStyle w:val="Akapitzlist"/>
              <w:numPr>
                <w:ilvl w:val="0"/>
                <w:numId w:val="12"/>
              </w:numPr>
              <w:autoSpaceDN w:val="0"/>
              <w:spacing w:after="0" w:line="254" w:lineRule="auto"/>
              <w:jc w:val="both"/>
              <w:rPr>
                <w:rFonts w:ascii="Times New Roman" w:hAnsi="Times New Roman" w:cs="Times New Roman"/>
              </w:rPr>
            </w:pPr>
            <w:r w:rsidRPr="00735AAD">
              <w:rPr>
                <w:rFonts w:ascii="Times New Roman" w:hAnsi="Times New Roman" w:cs="Times New Roman"/>
              </w:rPr>
              <w:t>serwera bazy danych zainstalowanego na istniejącym serwerze (hardware) w jednostce.</w:t>
            </w:r>
          </w:p>
        </w:tc>
        <w:tc>
          <w:tcPr>
            <w:tcW w:w="1246" w:type="dxa"/>
            <w:tcBorders>
              <w:top w:val="single" w:sz="4" w:space="0" w:color="000000"/>
              <w:left w:val="single" w:sz="4" w:space="0" w:color="000000"/>
              <w:bottom w:val="single" w:sz="4" w:space="0" w:color="000000"/>
              <w:right w:val="single" w:sz="4" w:space="0" w:color="000000"/>
            </w:tcBorders>
            <w:vAlign w:val="center"/>
          </w:tcPr>
          <w:p w14:paraId="4FEE8957" w14:textId="77777777" w:rsidR="00735AAD" w:rsidRPr="00735AAD" w:rsidRDefault="007E4232" w:rsidP="00735AAD">
            <w:pPr>
              <w:pStyle w:val="Bezodstpw"/>
              <w:rPr>
                <w:rFonts w:ascii="Times New Roman" w:hAnsi="Times New Roman" w:cs="Times New Roman"/>
              </w:rPr>
            </w:pPr>
            <w:sdt>
              <w:sdtPr>
                <w:rPr>
                  <w:rFonts w:ascii="Times New Roman" w:eastAsia="Calibri" w:hAnsi="Times New Roman" w:cs="Times New Roman"/>
                </w:rPr>
                <w:id w:val="210113571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C964117" w14:textId="77777777" w:rsidTr="00735AAD">
        <w:trPr>
          <w:trHeight w:val="2025"/>
        </w:trPr>
        <w:tc>
          <w:tcPr>
            <w:tcW w:w="993" w:type="dxa"/>
            <w:vMerge w:val="restart"/>
            <w:tcBorders>
              <w:top w:val="single" w:sz="4" w:space="0" w:color="000000"/>
              <w:left w:val="single" w:sz="4" w:space="0" w:color="000000"/>
              <w:right w:val="single" w:sz="4" w:space="0" w:color="000000"/>
            </w:tcBorders>
            <w:tcMar>
              <w:top w:w="0" w:type="dxa"/>
              <w:left w:w="70" w:type="dxa"/>
              <w:bottom w:w="0" w:type="dxa"/>
              <w:right w:w="70" w:type="dxa"/>
            </w:tcMar>
            <w:vAlign w:val="center"/>
          </w:tcPr>
          <w:p w14:paraId="62CACAD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2</w:t>
            </w:r>
          </w:p>
        </w:tc>
        <w:tc>
          <w:tcPr>
            <w:tcW w:w="8221" w:type="dxa"/>
            <w:tcBorders>
              <w:top w:val="single" w:sz="4" w:space="0" w:color="000000"/>
              <w:left w:val="single" w:sz="4" w:space="0" w:color="000000"/>
              <w:bottom w:val="single" w:sz="4" w:space="0" w:color="auto"/>
              <w:right w:val="single" w:sz="4" w:space="0" w:color="000000"/>
            </w:tcBorders>
            <w:tcMar>
              <w:top w:w="0" w:type="dxa"/>
              <w:left w:w="70" w:type="dxa"/>
              <w:bottom w:w="0" w:type="dxa"/>
              <w:right w:w="70" w:type="dxa"/>
            </w:tcMar>
            <w:vAlign w:val="center"/>
          </w:tcPr>
          <w:p w14:paraId="18D5C9C5"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Rozwiązanie musi składać się z dwóch części – zewnętrznej i wewnętrznej i realizować przez to dostęp do wybranych funkcjonalności SEOD dla użytkowników logujących się z zewnątrz sieci Zamawiającego. Na etapie analizy zostaną zdefiniowane obszary i funkcje SEOD, które będą dostępne dla użytkowników, którzy logują się wewnątrz sieci Zamawiającego oraz te które będą dostępne z zewnątrz.</w:t>
            </w:r>
          </w:p>
        </w:tc>
        <w:tc>
          <w:tcPr>
            <w:tcW w:w="1246" w:type="dxa"/>
            <w:vMerge w:val="restart"/>
            <w:tcBorders>
              <w:top w:val="single" w:sz="4" w:space="0" w:color="000000"/>
              <w:left w:val="single" w:sz="4" w:space="0" w:color="000000"/>
              <w:right w:val="single" w:sz="4" w:space="0" w:color="000000"/>
            </w:tcBorders>
            <w:vAlign w:val="center"/>
          </w:tcPr>
          <w:p w14:paraId="5CAA4E9A" w14:textId="77777777" w:rsidR="00735AAD" w:rsidRPr="00735AAD" w:rsidRDefault="007E4232" w:rsidP="00735AAD">
            <w:pPr>
              <w:pStyle w:val="Bezodstpw"/>
              <w:rPr>
                <w:rFonts w:ascii="Times New Roman" w:hAnsi="Times New Roman" w:cs="Times New Roman"/>
              </w:rPr>
            </w:pPr>
            <w:sdt>
              <w:sdtPr>
                <w:rPr>
                  <w:rFonts w:ascii="Times New Roman" w:eastAsia="Calibri" w:hAnsi="Times New Roman" w:cs="Times New Roman"/>
                </w:rPr>
                <w:id w:val="-51121747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34C1B62" w14:textId="77777777" w:rsidTr="00735AAD">
        <w:trPr>
          <w:trHeight w:val="651"/>
        </w:trPr>
        <w:tc>
          <w:tcPr>
            <w:tcW w:w="993" w:type="dxa"/>
            <w:vMerge/>
            <w:tcBorders>
              <w:left w:val="single" w:sz="4" w:space="0" w:color="000000"/>
              <w:right w:val="single" w:sz="4" w:space="0" w:color="000000"/>
            </w:tcBorders>
            <w:tcMar>
              <w:top w:w="0" w:type="dxa"/>
              <w:left w:w="70" w:type="dxa"/>
              <w:bottom w:w="0" w:type="dxa"/>
              <w:right w:w="70" w:type="dxa"/>
            </w:tcMar>
            <w:vAlign w:val="center"/>
          </w:tcPr>
          <w:p w14:paraId="7B4BCC58" w14:textId="77777777" w:rsidR="00735AAD" w:rsidRPr="00735AAD" w:rsidRDefault="00735AAD" w:rsidP="00735AAD">
            <w:pPr>
              <w:pStyle w:val="Bezodstpw"/>
              <w:jc w:val="center"/>
              <w:rPr>
                <w:rFonts w:ascii="Times New Roman" w:hAnsi="Times New Roman" w:cs="Times New Roman"/>
                <w:bCs/>
              </w:rPr>
            </w:pPr>
          </w:p>
        </w:tc>
        <w:tc>
          <w:tcPr>
            <w:tcW w:w="8221" w:type="dxa"/>
            <w:tcBorders>
              <w:top w:val="single" w:sz="4" w:space="0" w:color="auto"/>
              <w:left w:val="single" w:sz="4" w:space="0" w:color="000000"/>
              <w:bottom w:val="single" w:sz="4" w:space="0" w:color="auto"/>
              <w:right w:val="single" w:sz="4" w:space="0" w:color="000000"/>
            </w:tcBorders>
            <w:tcMar>
              <w:top w:w="0" w:type="dxa"/>
              <w:left w:w="70" w:type="dxa"/>
              <w:bottom w:w="0" w:type="dxa"/>
              <w:right w:w="70" w:type="dxa"/>
            </w:tcMar>
            <w:vAlign w:val="center"/>
          </w:tcPr>
          <w:p w14:paraId="25EB46A1"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Część wewnętrzną tworzy System Elektronicznego Obiegu Dokumentów (SEOD) zainstalowany na serwerze wewnątrz jednostki.</w:t>
            </w:r>
          </w:p>
        </w:tc>
        <w:tc>
          <w:tcPr>
            <w:tcW w:w="1246" w:type="dxa"/>
            <w:vMerge/>
            <w:tcBorders>
              <w:left w:val="single" w:sz="4" w:space="0" w:color="000000"/>
              <w:right w:val="single" w:sz="4" w:space="0" w:color="000000"/>
            </w:tcBorders>
          </w:tcPr>
          <w:p w14:paraId="4E014F4D" w14:textId="77777777" w:rsidR="00735AAD" w:rsidRPr="00735AAD" w:rsidRDefault="00735AAD" w:rsidP="00735AAD">
            <w:pPr>
              <w:pStyle w:val="Bezodstpw"/>
              <w:rPr>
                <w:rFonts w:ascii="Times New Roman" w:eastAsia="MS Gothic" w:hAnsi="Times New Roman" w:cs="Times New Roman"/>
              </w:rPr>
            </w:pPr>
          </w:p>
        </w:tc>
      </w:tr>
      <w:tr w:rsidR="00735AAD" w:rsidRPr="00735AAD" w14:paraId="64F3F004" w14:textId="77777777" w:rsidTr="00735AAD">
        <w:trPr>
          <w:trHeight w:val="690"/>
        </w:trPr>
        <w:tc>
          <w:tcPr>
            <w:tcW w:w="993" w:type="dxa"/>
            <w:vMerge/>
            <w:tcBorders>
              <w:left w:val="single" w:sz="4" w:space="0" w:color="000000"/>
              <w:bottom w:val="single" w:sz="4" w:space="0" w:color="000000"/>
              <w:right w:val="single" w:sz="4" w:space="0" w:color="000000"/>
            </w:tcBorders>
            <w:tcMar>
              <w:top w:w="0" w:type="dxa"/>
              <w:left w:w="70" w:type="dxa"/>
              <w:bottom w:w="0" w:type="dxa"/>
              <w:right w:w="70" w:type="dxa"/>
            </w:tcMar>
            <w:vAlign w:val="center"/>
          </w:tcPr>
          <w:p w14:paraId="39C35359" w14:textId="77777777" w:rsidR="00735AAD" w:rsidRPr="00735AAD" w:rsidRDefault="00735AAD" w:rsidP="00735AAD">
            <w:pPr>
              <w:pStyle w:val="Bezodstpw"/>
              <w:jc w:val="center"/>
              <w:rPr>
                <w:rFonts w:ascii="Times New Roman" w:hAnsi="Times New Roman" w:cs="Times New Roman"/>
                <w:bCs/>
              </w:rPr>
            </w:pPr>
          </w:p>
        </w:tc>
        <w:tc>
          <w:tcPr>
            <w:tcW w:w="8221" w:type="dxa"/>
            <w:tcBorders>
              <w:top w:val="single" w:sz="4" w:space="0" w:color="auto"/>
              <w:left w:val="single" w:sz="4" w:space="0" w:color="000000"/>
              <w:bottom w:val="single" w:sz="4" w:space="0" w:color="000000"/>
              <w:right w:val="single" w:sz="4" w:space="0" w:color="000000"/>
            </w:tcBorders>
            <w:tcMar>
              <w:top w:w="0" w:type="dxa"/>
              <w:left w:w="70" w:type="dxa"/>
              <w:bottom w:w="0" w:type="dxa"/>
              <w:right w:w="70" w:type="dxa"/>
            </w:tcMar>
            <w:vAlign w:val="center"/>
          </w:tcPr>
          <w:p w14:paraId="15614185"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Część zewnętrzną tworzy SEOD udostępniający informacje publiczne – dostępne spoza wewnętrznej sieci Zamawiającego. Zainstalowany system zewnętrzny powinien być dostępny w sieci Internet.</w:t>
            </w:r>
          </w:p>
        </w:tc>
        <w:tc>
          <w:tcPr>
            <w:tcW w:w="1246" w:type="dxa"/>
            <w:vMerge/>
            <w:tcBorders>
              <w:left w:val="single" w:sz="4" w:space="0" w:color="000000"/>
              <w:bottom w:val="single" w:sz="4" w:space="0" w:color="000000"/>
              <w:right w:val="single" w:sz="4" w:space="0" w:color="000000"/>
            </w:tcBorders>
          </w:tcPr>
          <w:p w14:paraId="4F1B4A08" w14:textId="77777777" w:rsidR="00735AAD" w:rsidRPr="00735AAD" w:rsidRDefault="00735AAD" w:rsidP="00735AAD">
            <w:pPr>
              <w:pStyle w:val="Bezodstpw"/>
              <w:rPr>
                <w:rFonts w:ascii="Times New Roman" w:eastAsia="MS Gothic" w:hAnsi="Times New Roman" w:cs="Times New Roman"/>
              </w:rPr>
            </w:pPr>
          </w:p>
        </w:tc>
      </w:tr>
      <w:tr w:rsidR="00735AAD" w:rsidRPr="00735AAD" w14:paraId="409D1EA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D4BC4D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ECC0BFA"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Rozwiązanie ma posiadać możliwość integracji i podłączenia zdalnych lokalizacji jednostki.</w:t>
            </w:r>
          </w:p>
        </w:tc>
        <w:tc>
          <w:tcPr>
            <w:tcW w:w="1246" w:type="dxa"/>
            <w:tcBorders>
              <w:top w:val="single" w:sz="4" w:space="0" w:color="000000"/>
              <w:left w:val="single" w:sz="4" w:space="0" w:color="000000"/>
              <w:bottom w:val="single" w:sz="4" w:space="0" w:color="000000"/>
              <w:right w:val="single" w:sz="4" w:space="0" w:color="000000"/>
            </w:tcBorders>
            <w:vAlign w:val="center"/>
          </w:tcPr>
          <w:p w14:paraId="54F470E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6542196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D43DAE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6AD850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9D4EBE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Zamawiający wymaga, aby SEOD był produktem opracowanym przez jednego producenta.</w:t>
            </w:r>
          </w:p>
        </w:tc>
        <w:tc>
          <w:tcPr>
            <w:tcW w:w="1246" w:type="dxa"/>
            <w:tcBorders>
              <w:top w:val="single" w:sz="4" w:space="0" w:color="000000"/>
              <w:left w:val="single" w:sz="4" w:space="0" w:color="000000"/>
              <w:bottom w:val="single" w:sz="4" w:space="0" w:color="000000"/>
              <w:right w:val="single" w:sz="4" w:space="0" w:color="000000"/>
            </w:tcBorders>
            <w:vAlign w:val="center"/>
          </w:tcPr>
          <w:p w14:paraId="686BDE8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2298798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5EF354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F32645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3FC72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System SEOD powinien umożliwiać rozbudowę o dowolną ilość aplikacji procesowych, a każda aplikacja procesowa powinna powstawać w ten sam sposób.</w:t>
            </w:r>
          </w:p>
        </w:tc>
        <w:tc>
          <w:tcPr>
            <w:tcW w:w="1246" w:type="dxa"/>
            <w:tcBorders>
              <w:top w:val="single" w:sz="4" w:space="0" w:color="000000"/>
              <w:left w:val="single" w:sz="4" w:space="0" w:color="000000"/>
              <w:bottom w:val="single" w:sz="4" w:space="0" w:color="000000"/>
              <w:right w:val="single" w:sz="4" w:space="0" w:color="000000"/>
            </w:tcBorders>
            <w:vAlign w:val="center"/>
          </w:tcPr>
          <w:p w14:paraId="68C703F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8347491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5DDEAE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4DBC0E1"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835AA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System musi być zaprojektowany w technologii „</w:t>
            </w:r>
            <w:proofErr w:type="spellStart"/>
            <w:r w:rsidRPr="00735AAD">
              <w:rPr>
                <w:rFonts w:ascii="Times New Roman" w:hAnsi="Times New Roman" w:cs="Times New Roman"/>
              </w:rPr>
              <w:t>Responsive</w:t>
            </w:r>
            <w:proofErr w:type="spellEnd"/>
            <w:r w:rsidRPr="00735AAD">
              <w:rPr>
                <w:rFonts w:ascii="Times New Roman" w:hAnsi="Times New Roman" w:cs="Times New Roman"/>
              </w:rPr>
              <w:t xml:space="preserve"> web design” co oznacza, że wygląd i układ interfejsu użytkownika powinien samoczynnie dostosowywać się do rozmiaru okna przeglądarki, w której jest wyświetlany np. na komputerze, w smartfonie lub tablecie.</w:t>
            </w:r>
          </w:p>
        </w:tc>
        <w:tc>
          <w:tcPr>
            <w:tcW w:w="1246" w:type="dxa"/>
            <w:tcBorders>
              <w:top w:val="single" w:sz="4" w:space="0" w:color="000000"/>
              <w:left w:val="single" w:sz="4" w:space="0" w:color="000000"/>
              <w:bottom w:val="single" w:sz="4" w:space="0" w:color="000000"/>
              <w:right w:val="single" w:sz="4" w:space="0" w:color="000000"/>
            </w:tcBorders>
            <w:vAlign w:val="center"/>
          </w:tcPr>
          <w:p w14:paraId="63393CC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7362379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541E9C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8A3BE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28AA1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wspierać dostęp za pomocą przeglądarek min. Mozilla </w:t>
            </w:r>
            <w:proofErr w:type="spellStart"/>
            <w:r w:rsidRPr="00735AAD">
              <w:rPr>
                <w:rFonts w:ascii="Times New Roman" w:hAnsi="Times New Roman" w:cs="Times New Roman"/>
              </w:rPr>
              <w:t>Firefox</w:t>
            </w:r>
            <w:proofErr w:type="spellEnd"/>
            <w:r w:rsidRPr="00735AAD">
              <w:rPr>
                <w:rFonts w:ascii="Times New Roman" w:hAnsi="Times New Roman" w:cs="Times New Roman"/>
              </w:rPr>
              <w:t>, Google Chrome, Opera, Edge.</w:t>
            </w:r>
          </w:p>
        </w:tc>
        <w:tc>
          <w:tcPr>
            <w:tcW w:w="1246" w:type="dxa"/>
            <w:tcBorders>
              <w:top w:val="single" w:sz="4" w:space="0" w:color="000000"/>
              <w:left w:val="single" w:sz="4" w:space="0" w:color="000000"/>
              <w:bottom w:val="single" w:sz="4" w:space="0" w:color="000000"/>
              <w:right w:val="single" w:sz="4" w:space="0" w:color="000000"/>
            </w:tcBorders>
            <w:vAlign w:val="center"/>
          </w:tcPr>
          <w:p w14:paraId="72111AE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314898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CBD844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B1893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1EA301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Dostarczone w ramach niniejszego zamówienia Oprogramowanie musi działać w dowolnej sieci komputerowej w standardzie TCP/IP.</w:t>
            </w:r>
          </w:p>
        </w:tc>
        <w:tc>
          <w:tcPr>
            <w:tcW w:w="1246" w:type="dxa"/>
            <w:tcBorders>
              <w:top w:val="single" w:sz="4" w:space="0" w:color="000000"/>
              <w:left w:val="single" w:sz="4" w:space="0" w:color="000000"/>
              <w:bottom w:val="single" w:sz="4" w:space="0" w:color="000000"/>
              <w:right w:val="single" w:sz="4" w:space="0" w:color="000000"/>
            </w:tcBorders>
            <w:vAlign w:val="center"/>
          </w:tcPr>
          <w:p w14:paraId="7042C64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9210027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73C245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D88ACF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60BF1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Dostarczone rozwiązanie musi umożliwiać pracownikom wydajną pracę. Odpowiednia wydajność oznacza, że System nie jest uciążliwy dla użytkowników i charakteryzuje się odpowiednio szybką reakcją na działania użytkowników przy szyfrowanym połączeniu między przeglądarką a serwerem, w warunkach pełnej przepustowości sieci wewnętrznej Zamawiającego. Warunek ten nie dotyczy funkcji, które są związane z wykonywaniem globalnych operacji na bazie danych takich jak np. sporządzanie raportów i jednocześnie nie są wykonywane w trakcie codziennej, rutynowej pracy z systemem.</w:t>
            </w:r>
          </w:p>
        </w:tc>
        <w:tc>
          <w:tcPr>
            <w:tcW w:w="1246" w:type="dxa"/>
            <w:tcBorders>
              <w:top w:val="single" w:sz="4" w:space="0" w:color="000000"/>
              <w:left w:val="single" w:sz="4" w:space="0" w:color="000000"/>
              <w:bottom w:val="single" w:sz="4" w:space="0" w:color="000000"/>
              <w:right w:val="single" w:sz="4" w:space="0" w:color="000000"/>
            </w:tcBorders>
            <w:vAlign w:val="center"/>
          </w:tcPr>
          <w:p w14:paraId="5D8FF87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1256939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AF7E2A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94B8E3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29B1DF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możliwość dodania jako załącznik dowolnego dokumentu w dowolnym formacie (np. TIFF, DOC, DOCX, TXT, RTF, XLS, XLSX, PNG, JPG, PDF itd.) bądź pliku ze skanera. SEOD nie może posiadać ograniczeń wielkości dodawanego pliku, a wielkość repozytorium, w którym przechowywane są dokumenty nie może być w żaden sposób ograniczona warunkami licencji.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53D91B4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5629986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4BA793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2C02B6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14D70A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być otwarty i skalowalny, tzn. umożliwiać nieograniczoną rozbudowę w celu sprawnej jego adaptacji do istniejących ograniczeń infrastruktury technicznej i zmieniającej się liczby użytkowników.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52E84C0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2156112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613400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0C8514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FE2C9A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zapewnić konfigurowalne mechanizmy weryfikacji poprawności i kompletności wprowadzanych danych (walidacje).</w:t>
            </w:r>
          </w:p>
        </w:tc>
        <w:tc>
          <w:tcPr>
            <w:tcW w:w="1246" w:type="dxa"/>
            <w:tcBorders>
              <w:top w:val="single" w:sz="4" w:space="0" w:color="000000"/>
              <w:left w:val="single" w:sz="4" w:space="0" w:color="000000"/>
              <w:bottom w:val="single" w:sz="4" w:space="0" w:color="000000"/>
              <w:right w:val="single" w:sz="4" w:space="0" w:color="000000"/>
            </w:tcBorders>
            <w:vAlign w:val="center"/>
          </w:tcPr>
          <w:p w14:paraId="4A5F538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1582399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285910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B8CF16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91730C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System musi posiadać wbudowany silnik procesów oraz rozbudowane mechanizmy konfiguracyjne umożliwiające zarówno konfigurowanie oraz wdrażanie w organizacji nowych procesów jak i zmianę i dostosowanie procesów istniejących w przypadku zmian prawnych lub organizacyjnych.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29B7FD8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6740789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7381F0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918F4B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D6FBA3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pozwalać na dostęp dla użytkowników spoza grona pracowników </w:t>
            </w:r>
            <w:r w:rsidRPr="00735AAD">
              <w:rPr>
                <w:rFonts w:ascii="Times New Roman" w:hAnsi="Times New Roman" w:cs="Times New Roman"/>
              </w:rPr>
              <w:lastRenderedPageBreak/>
              <w:t>należących do organizacji, jak np. dla kontrahentów, zewnętrznych prawników.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02468A6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2950588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B47B39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F0C382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15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2D3E9E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System musi pozwolić na dodawania do nowozakładanej sprawy dokumentów poprzez sczytanie ich kodu kreskowego. Sczytanie spowoduje podpięcie pliku do sprawy lub teczki sprawy.</w:t>
            </w:r>
          </w:p>
        </w:tc>
        <w:tc>
          <w:tcPr>
            <w:tcW w:w="1246" w:type="dxa"/>
            <w:tcBorders>
              <w:top w:val="single" w:sz="4" w:space="0" w:color="000000"/>
              <w:left w:val="single" w:sz="4" w:space="0" w:color="000000"/>
              <w:bottom w:val="single" w:sz="4" w:space="0" w:color="000000"/>
              <w:right w:val="single" w:sz="4" w:space="0" w:color="000000"/>
            </w:tcBorders>
            <w:vAlign w:val="center"/>
          </w:tcPr>
          <w:p w14:paraId="56C0BE0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5718773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433B2D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C2856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9845B1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umożliwić zakładanie spraw z wbudowanej przeglądarki skanowanych dokumentów.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15A774A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8550047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610F67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E61B3F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541988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współpracę z czytnikami kodów kreskowych.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2084E9F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4550886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18D1DB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3CCC4A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1A0C05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opisywanie atrybutami pojedynczych dokumentów.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5F00822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0379697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8BABB7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DBA5E7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1C5977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 SEOD musi istnieć możliwość zarządzania uprawnieniami na poszczególnym dokumencie.</w:t>
            </w:r>
          </w:p>
        </w:tc>
        <w:tc>
          <w:tcPr>
            <w:tcW w:w="1246" w:type="dxa"/>
            <w:tcBorders>
              <w:top w:val="single" w:sz="4" w:space="0" w:color="000000"/>
              <w:left w:val="single" w:sz="4" w:space="0" w:color="000000"/>
              <w:bottom w:val="single" w:sz="4" w:space="0" w:color="000000"/>
              <w:right w:val="single" w:sz="4" w:space="0" w:color="000000"/>
            </w:tcBorders>
            <w:vAlign w:val="center"/>
          </w:tcPr>
          <w:p w14:paraId="544FE96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7105192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31CA85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EB7696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544B3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nadawanie ról użytkownikom.</w:t>
            </w:r>
          </w:p>
        </w:tc>
        <w:tc>
          <w:tcPr>
            <w:tcW w:w="1246" w:type="dxa"/>
            <w:tcBorders>
              <w:top w:val="single" w:sz="4" w:space="0" w:color="000000"/>
              <w:left w:val="single" w:sz="4" w:space="0" w:color="000000"/>
              <w:bottom w:val="single" w:sz="4" w:space="0" w:color="000000"/>
              <w:right w:val="single" w:sz="4" w:space="0" w:color="000000"/>
            </w:tcBorders>
            <w:vAlign w:val="center"/>
          </w:tcPr>
          <w:p w14:paraId="55D68E4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8085302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F82CB8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D72B8B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5253DA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tworzenie samodzielnie przez Zamawiającego grup użytkowników, które będą mogły być wykorzystywane w obsłudze procesu biznesowego.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10BA8B6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426190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5915ED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7C7D7F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B4B5E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wbudowany rejestr zmian w ramach każdego modułu oraz sprawy.</w:t>
            </w:r>
          </w:p>
        </w:tc>
        <w:tc>
          <w:tcPr>
            <w:tcW w:w="1246" w:type="dxa"/>
            <w:tcBorders>
              <w:top w:val="single" w:sz="4" w:space="0" w:color="000000"/>
              <w:left w:val="single" w:sz="4" w:space="0" w:color="000000"/>
              <w:bottom w:val="single" w:sz="4" w:space="0" w:color="000000"/>
              <w:right w:val="single" w:sz="4" w:space="0" w:color="000000"/>
            </w:tcBorders>
            <w:vAlign w:val="center"/>
          </w:tcPr>
          <w:p w14:paraId="17B27DD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7047679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52BE50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4EF51FE"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C293D7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generowanie raportów z danych przetwarzanych w systemie za pomocą wbudowanego interfejsu nie wymagającego znajomości języków programowania oraz budowy kwerend SQL.</w:t>
            </w:r>
          </w:p>
        </w:tc>
        <w:tc>
          <w:tcPr>
            <w:tcW w:w="1246" w:type="dxa"/>
            <w:tcBorders>
              <w:top w:val="single" w:sz="4" w:space="0" w:color="000000"/>
              <w:left w:val="single" w:sz="4" w:space="0" w:color="000000"/>
              <w:bottom w:val="single" w:sz="4" w:space="0" w:color="000000"/>
              <w:right w:val="single" w:sz="4" w:space="0" w:color="000000"/>
            </w:tcBorders>
            <w:vAlign w:val="center"/>
          </w:tcPr>
          <w:p w14:paraId="2528B17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2924939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2FC654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FE71D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F61602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generowanie wykresów na podstawie danych wygenerowanych w raportach z przetwarzanych spraw.</w:t>
            </w:r>
          </w:p>
        </w:tc>
        <w:tc>
          <w:tcPr>
            <w:tcW w:w="1246" w:type="dxa"/>
            <w:tcBorders>
              <w:top w:val="single" w:sz="4" w:space="0" w:color="000000"/>
              <w:left w:val="single" w:sz="4" w:space="0" w:color="000000"/>
              <w:bottom w:val="single" w:sz="4" w:space="0" w:color="000000"/>
              <w:right w:val="single" w:sz="4" w:space="0" w:color="000000"/>
            </w:tcBorders>
            <w:vAlign w:val="center"/>
          </w:tcPr>
          <w:p w14:paraId="55B384D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4998711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CE7A4A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C5421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8506C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generowanie historii obiegu dokumentu wraz ze wszystkimi zmianami naniesionymi na formularzu.</w:t>
            </w:r>
          </w:p>
        </w:tc>
        <w:tc>
          <w:tcPr>
            <w:tcW w:w="1246" w:type="dxa"/>
            <w:tcBorders>
              <w:top w:val="single" w:sz="4" w:space="0" w:color="000000"/>
              <w:left w:val="single" w:sz="4" w:space="0" w:color="000000"/>
              <w:bottom w:val="single" w:sz="4" w:space="0" w:color="000000"/>
              <w:right w:val="single" w:sz="4" w:space="0" w:color="000000"/>
            </w:tcBorders>
            <w:vAlign w:val="center"/>
          </w:tcPr>
          <w:p w14:paraId="4B62EB3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7767142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046807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A39F09"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919015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Dla każdego typu sprawy zdefiniowanej w systemie (np. umów, faktur) SEOD musi automatycznie tworzyć zdefiniowany dla danego typu sprawy rejestr, w którym będą dostępne wszystkie pozycje danego typu sprawy zarejestrowane przez formularz rejestracji danej sprawy.</w:t>
            </w:r>
          </w:p>
        </w:tc>
        <w:tc>
          <w:tcPr>
            <w:tcW w:w="1246" w:type="dxa"/>
            <w:tcBorders>
              <w:top w:val="single" w:sz="4" w:space="0" w:color="000000"/>
              <w:left w:val="single" w:sz="4" w:space="0" w:color="000000"/>
              <w:bottom w:val="single" w:sz="4" w:space="0" w:color="000000"/>
              <w:right w:val="single" w:sz="4" w:space="0" w:color="000000"/>
            </w:tcBorders>
            <w:vAlign w:val="center"/>
          </w:tcPr>
          <w:p w14:paraId="6F558E7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2598428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540782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BBAE8A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7B90C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posiadać wbudowaną wyszukiwarkę </w:t>
            </w:r>
            <w:proofErr w:type="spellStart"/>
            <w:r w:rsidRPr="00735AAD">
              <w:rPr>
                <w:rFonts w:ascii="Times New Roman" w:hAnsi="Times New Roman" w:cs="Times New Roman"/>
              </w:rPr>
              <w:t>pełnotekstową</w:t>
            </w:r>
            <w:proofErr w:type="spellEnd"/>
            <w:r w:rsidRPr="00735AAD">
              <w:rPr>
                <w:rFonts w:ascii="Times New Roman" w:hAnsi="Times New Roman" w:cs="Times New Roman"/>
              </w:rPr>
              <w:t xml:space="preserve"> w każdym zdefiniowanym w SEOD rejestrze.</w:t>
            </w:r>
          </w:p>
        </w:tc>
        <w:tc>
          <w:tcPr>
            <w:tcW w:w="1246" w:type="dxa"/>
            <w:tcBorders>
              <w:top w:val="single" w:sz="4" w:space="0" w:color="000000"/>
              <w:left w:val="single" w:sz="4" w:space="0" w:color="000000"/>
              <w:bottom w:val="single" w:sz="4" w:space="0" w:color="000000"/>
              <w:right w:val="single" w:sz="4" w:space="0" w:color="000000"/>
            </w:tcBorders>
            <w:vAlign w:val="center"/>
          </w:tcPr>
          <w:p w14:paraId="2B6DFAE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2365043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8B0015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4EDF31"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DD51EE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Na bazie wbudowanego modułu OCR musi istnieć możliwość wyszukiwania danych w rejestrze po treści dodawanych do spraw załączników.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340FAEC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4532509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C1F9F5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330880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DE4B9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budowanie aktywnych elementów wyszukujących na podstawie danych zdefiniowanych w rejestrze.</w:t>
            </w:r>
          </w:p>
        </w:tc>
        <w:tc>
          <w:tcPr>
            <w:tcW w:w="1246" w:type="dxa"/>
            <w:tcBorders>
              <w:top w:val="single" w:sz="4" w:space="0" w:color="000000"/>
              <w:left w:val="single" w:sz="4" w:space="0" w:color="000000"/>
              <w:bottom w:val="single" w:sz="4" w:space="0" w:color="000000"/>
              <w:right w:val="single" w:sz="4" w:space="0" w:color="000000"/>
            </w:tcBorders>
            <w:vAlign w:val="center"/>
          </w:tcPr>
          <w:p w14:paraId="1606560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0552947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7A8FD3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430A10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9F3E6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Musi istnieć możliwość określania widoczności kolumn wyświetlanych w rejestrach.</w:t>
            </w:r>
          </w:p>
        </w:tc>
        <w:tc>
          <w:tcPr>
            <w:tcW w:w="1246" w:type="dxa"/>
            <w:tcBorders>
              <w:top w:val="single" w:sz="4" w:space="0" w:color="000000"/>
              <w:left w:val="single" w:sz="4" w:space="0" w:color="000000"/>
              <w:bottom w:val="single" w:sz="4" w:space="0" w:color="000000"/>
              <w:right w:val="single" w:sz="4" w:space="0" w:color="000000"/>
            </w:tcBorders>
            <w:vAlign w:val="center"/>
          </w:tcPr>
          <w:p w14:paraId="20299E4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2111225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228CA2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9077D3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5AF35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pozwolić na zapisanie konfiguracji kolumn w rejestrze per użytkownik (każdy użytkownik może mieć inny układ kolumn).</w:t>
            </w:r>
          </w:p>
        </w:tc>
        <w:tc>
          <w:tcPr>
            <w:tcW w:w="1246" w:type="dxa"/>
            <w:tcBorders>
              <w:top w:val="single" w:sz="4" w:space="0" w:color="000000"/>
              <w:left w:val="single" w:sz="4" w:space="0" w:color="000000"/>
              <w:bottom w:val="single" w:sz="4" w:space="0" w:color="000000"/>
              <w:right w:val="single" w:sz="4" w:space="0" w:color="000000"/>
            </w:tcBorders>
            <w:vAlign w:val="center"/>
          </w:tcPr>
          <w:p w14:paraId="7F36BE2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6720261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210D33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1E150F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BEB7F6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określenie ilości danych prezentowanych w rejestrze.</w:t>
            </w:r>
          </w:p>
        </w:tc>
        <w:tc>
          <w:tcPr>
            <w:tcW w:w="1246" w:type="dxa"/>
            <w:tcBorders>
              <w:top w:val="single" w:sz="4" w:space="0" w:color="000000"/>
              <w:left w:val="single" w:sz="4" w:space="0" w:color="000000"/>
              <w:bottom w:val="single" w:sz="4" w:space="0" w:color="000000"/>
              <w:right w:val="single" w:sz="4" w:space="0" w:color="000000"/>
            </w:tcBorders>
            <w:vAlign w:val="center"/>
          </w:tcPr>
          <w:p w14:paraId="748449D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8981198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DE2C8A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A84657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435305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definiowanie w rejestrach stałych widoków z odfiltrowanych przez użytkownika danych tak aby zapewnić użytkownikowi szybki dostęp do odfiltrowanych widoków bez konieczności każdorazowego filtrowania danych.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778C569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5206924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1CFE7B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0389AC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697155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eksport danych rejestrowych do pliku XLS lub CSV.</w:t>
            </w:r>
          </w:p>
        </w:tc>
        <w:tc>
          <w:tcPr>
            <w:tcW w:w="1246" w:type="dxa"/>
            <w:tcBorders>
              <w:top w:val="single" w:sz="4" w:space="0" w:color="000000"/>
              <w:left w:val="single" w:sz="4" w:space="0" w:color="000000"/>
              <w:bottom w:val="single" w:sz="4" w:space="0" w:color="000000"/>
              <w:right w:val="single" w:sz="4" w:space="0" w:color="000000"/>
            </w:tcBorders>
            <w:vAlign w:val="center"/>
          </w:tcPr>
          <w:p w14:paraId="1D1AA24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1397273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54526A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F834B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00BFC6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W SEOD musi istnieć wewnętrzny mechanizm podglądu dokumentów. Minimalne formaty wymagane przez Zamawiającego to pliki pdf, </w:t>
            </w:r>
            <w:proofErr w:type="spellStart"/>
            <w:r w:rsidRPr="00735AAD">
              <w:rPr>
                <w:rFonts w:ascii="Times New Roman" w:hAnsi="Times New Roman" w:cs="Times New Roman"/>
              </w:rPr>
              <w:t>doc</w:t>
            </w:r>
            <w:proofErr w:type="spellEnd"/>
            <w:r w:rsidRPr="00735AAD">
              <w:rPr>
                <w:rFonts w:ascii="Times New Roman" w:hAnsi="Times New Roman" w:cs="Times New Roman"/>
              </w:rPr>
              <w:t xml:space="preserve">, </w:t>
            </w:r>
            <w:proofErr w:type="spellStart"/>
            <w:r w:rsidRPr="00735AAD">
              <w:rPr>
                <w:rFonts w:ascii="Times New Roman" w:hAnsi="Times New Roman" w:cs="Times New Roman"/>
              </w:rPr>
              <w:t>docx</w:t>
            </w:r>
            <w:proofErr w:type="spellEnd"/>
            <w:r w:rsidRPr="00735AAD">
              <w:rPr>
                <w:rFonts w:ascii="Times New Roman" w:hAnsi="Times New Roman" w:cs="Times New Roman"/>
              </w:rPr>
              <w:t xml:space="preserve">, </w:t>
            </w:r>
            <w:proofErr w:type="spellStart"/>
            <w:r w:rsidRPr="00735AAD">
              <w:rPr>
                <w:rFonts w:ascii="Times New Roman" w:hAnsi="Times New Roman" w:cs="Times New Roman"/>
              </w:rPr>
              <w:t>odt</w:t>
            </w:r>
            <w:proofErr w:type="spellEnd"/>
            <w:r w:rsidRPr="00735AAD">
              <w:rPr>
                <w:rFonts w:ascii="Times New Roman" w:hAnsi="Times New Roman" w:cs="Times New Roman"/>
              </w:rPr>
              <w:t xml:space="preserve">, rtf, jpg, </w:t>
            </w:r>
            <w:proofErr w:type="spellStart"/>
            <w:r w:rsidRPr="00735AAD">
              <w:rPr>
                <w:rFonts w:ascii="Times New Roman" w:hAnsi="Times New Roman" w:cs="Times New Roman"/>
              </w:rPr>
              <w:t>png</w:t>
            </w:r>
            <w:proofErr w:type="spellEnd"/>
            <w:r w:rsidRPr="00735AAD">
              <w:rPr>
                <w:rFonts w:ascii="Times New Roman" w:hAnsi="Times New Roman" w:cs="Times New Roman"/>
              </w:rPr>
              <w:t xml:space="preserve">, </w:t>
            </w:r>
            <w:proofErr w:type="spellStart"/>
            <w:r w:rsidRPr="00735AAD">
              <w:rPr>
                <w:rFonts w:ascii="Times New Roman" w:hAnsi="Times New Roman" w:cs="Times New Roman"/>
              </w:rPr>
              <w:t>tiff</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56DF72D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9113480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32F7B5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8E997C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46FD04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Musi istnieć możliwość wersjonowania dokumentów. Uprawniony Użytkownik musi posiadać dostęp do najnowszej oraz poprzednich wersji dokumentu w obrębie teczki dokumentu.</w:t>
            </w:r>
          </w:p>
        </w:tc>
        <w:tc>
          <w:tcPr>
            <w:tcW w:w="1246" w:type="dxa"/>
            <w:tcBorders>
              <w:top w:val="single" w:sz="4" w:space="0" w:color="000000"/>
              <w:left w:val="single" w:sz="4" w:space="0" w:color="000000"/>
              <w:bottom w:val="single" w:sz="4" w:space="0" w:color="000000"/>
              <w:right w:val="single" w:sz="4" w:space="0" w:color="000000"/>
            </w:tcBorders>
            <w:vAlign w:val="center"/>
          </w:tcPr>
          <w:p w14:paraId="2097309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6586449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77E61B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F9C008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ECC931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jednolity wygląd typów spraw zdefiniowanych w systemie.</w:t>
            </w:r>
          </w:p>
        </w:tc>
        <w:tc>
          <w:tcPr>
            <w:tcW w:w="1246" w:type="dxa"/>
            <w:tcBorders>
              <w:top w:val="single" w:sz="4" w:space="0" w:color="000000"/>
              <w:left w:val="single" w:sz="4" w:space="0" w:color="000000"/>
              <w:bottom w:val="single" w:sz="4" w:space="0" w:color="000000"/>
              <w:right w:val="single" w:sz="4" w:space="0" w:color="000000"/>
            </w:tcBorders>
            <w:vAlign w:val="center"/>
          </w:tcPr>
          <w:p w14:paraId="593453C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1730383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7D7A6C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67694D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382E1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W obrębie profilu użytkownika musi istnieć możliwość definiowania szablonów tekstów standardowych, które będą mogły być użyte przez </w:t>
            </w:r>
            <w:r w:rsidRPr="00735AAD">
              <w:rPr>
                <w:rFonts w:ascii="Times New Roman" w:hAnsi="Times New Roman" w:cs="Times New Roman"/>
              </w:rPr>
              <w:lastRenderedPageBreak/>
              <w:t>użytkownika we wszystkich polach tekstowych występujących w formularzach i sprawach, które obsługuje dany użytkownik.</w:t>
            </w:r>
          </w:p>
        </w:tc>
        <w:tc>
          <w:tcPr>
            <w:tcW w:w="1246" w:type="dxa"/>
            <w:tcBorders>
              <w:top w:val="single" w:sz="4" w:space="0" w:color="000000"/>
              <w:left w:val="single" w:sz="4" w:space="0" w:color="000000"/>
              <w:bottom w:val="single" w:sz="4" w:space="0" w:color="000000"/>
              <w:right w:val="single" w:sz="4" w:space="0" w:color="000000"/>
            </w:tcBorders>
            <w:vAlign w:val="center"/>
          </w:tcPr>
          <w:p w14:paraId="6C4D984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629516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7EFECF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26B33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39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2B5BCA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historię zmian oraz historię przepływu dokumentu w obrębie procesu biznesowego.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6113996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5987054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F91606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A637C1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9BE0C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Wykonawca SEOD na żądanie Zamawiającego musi potwierdzić możliwość dostępu do kodów źródłowych wszystkich składowych komponentów SEOD i możliwość wprowadzania zmian na żądanie Zamawiającego w dowolnym komponencie Systemu.</w:t>
            </w:r>
          </w:p>
        </w:tc>
        <w:tc>
          <w:tcPr>
            <w:tcW w:w="1246" w:type="dxa"/>
            <w:tcBorders>
              <w:top w:val="single" w:sz="4" w:space="0" w:color="000000"/>
              <w:left w:val="single" w:sz="4" w:space="0" w:color="000000"/>
              <w:bottom w:val="single" w:sz="4" w:space="0" w:color="000000"/>
              <w:right w:val="single" w:sz="4" w:space="0" w:color="000000"/>
            </w:tcBorders>
            <w:vAlign w:val="center"/>
          </w:tcPr>
          <w:p w14:paraId="380A55F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6489131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712A2B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2CA15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6376B7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Powiadomienia e-mailowe z SEOD do użytkowników – przejście bezpośrednio do sprawy z linka w e-mailu będącym powiadomieniem o konkretnym zdarzeniu w SEOD.</w:t>
            </w:r>
          </w:p>
        </w:tc>
        <w:tc>
          <w:tcPr>
            <w:tcW w:w="1246" w:type="dxa"/>
            <w:tcBorders>
              <w:top w:val="single" w:sz="4" w:space="0" w:color="000000"/>
              <w:left w:val="single" w:sz="4" w:space="0" w:color="000000"/>
              <w:bottom w:val="single" w:sz="4" w:space="0" w:color="000000"/>
              <w:right w:val="single" w:sz="4" w:space="0" w:color="000000"/>
            </w:tcBorders>
            <w:vAlign w:val="center"/>
          </w:tcPr>
          <w:p w14:paraId="27237A2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9273595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D9C39D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0F8C07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1FD40D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Powiadomienia w formie zadań – SEOD oprócz powiadomień mailowych musi umożliwiać również generowanie powiadomień w formie zadań do realizacji w SEOD dla wskazanego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0BAE6D1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7647712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708317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D64AEB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A8ED39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tworzenie dynamicznych formularzy w ramach każdego typu sprawy np. korespondencji przychodzącej, umowy, faktury czy wniosku, gdzie widoczne i/lub wymagalne do uzupełnienia pola będą się dopasowywać do wybranego rodzaju dokumentu lub  sposobu obsługi danego dokumentu powiązanego z daną ścieżką jego obiegu np. rodzaju umowy (umowa dostawy, umowa najmu), rodzaju korespondencji wychodzącej (wysyłka mailem, wysyłka przez e-PUAP) rodzaju faktury (np. inny dla faktury aptecznej, inny dla faktury kontraktowej).</w:t>
            </w:r>
          </w:p>
        </w:tc>
        <w:tc>
          <w:tcPr>
            <w:tcW w:w="1246" w:type="dxa"/>
            <w:tcBorders>
              <w:top w:val="single" w:sz="4" w:space="0" w:color="000000"/>
              <w:left w:val="single" w:sz="4" w:space="0" w:color="000000"/>
              <w:bottom w:val="single" w:sz="4" w:space="0" w:color="000000"/>
              <w:right w:val="single" w:sz="4" w:space="0" w:color="000000"/>
            </w:tcBorders>
            <w:vAlign w:val="center"/>
          </w:tcPr>
          <w:p w14:paraId="2457CAB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7041542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ED738AB"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705F3092"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Zapewnienie jakości i bezpieczeństwa SEOD</w:t>
            </w:r>
          </w:p>
        </w:tc>
      </w:tr>
      <w:tr w:rsidR="00735AAD" w:rsidRPr="00735AAD" w14:paraId="7BCBB34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1A5B3B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EB504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 przypadku wystąpienia awarii SEOD powinien gromadzić dane audytowe pozwalające diagnozować przyczyny i zapobiegać awariom w przyszłości.</w:t>
            </w:r>
          </w:p>
        </w:tc>
        <w:tc>
          <w:tcPr>
            <w:tcW w:w="1246" w:type="dxa"/>
            <w:tcBorders>
              <w:top w:val="single" w:sz="4" w:space="0" w:color="000000"/>
              <w:left w:val="single" w:sz="4" w:space="0" w:color="000000"/>
              <w:bottom w:val="single" w:sz="4" w:space="0" w:color="000000"/>
              <w:right w:val="single" w:sz="4" w:space="0" w:color="000000"/>
            </w:tcBorders>
            <w:vAlign w:val="center"/>
          </w:tcPr>
          <w:p w14:paraId="6A73E95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5447802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8929C9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0AA851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8C171F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Procedury wytwarzania SEOD muszą obejmować testy automatyczne uruchamiane na każdej wersji systemu przed jej udostępnieniem Zamawiającemu w formie Aktualizacji.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703EE98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5644989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AD5091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B8F1D8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C6BE25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być wdrażany w środowisku wirtualnym opartym na konteneryzacji w celu umożliwienia skalowania przydzielonych zasobów sprzętowych w przypadku zwiększającego się obciążenia systemu np. wskutek wzrostu liczby użytkowników.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01D6DC7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7756287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E4F248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9C9955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573E68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Architektura SEOD powinna być oparta na serwisach pozwalających niezależnie od siebie skalować zasoby przydzielane do poszczególnych serwisów systemu, w tym serwisów realizujących funkcje przetwarzania dokumentów (OCR, </w:t>
            </w:r>
            <w:proofErr w:type="spellStart"/>
            <w:r w:rsidRPr="00735AAD">
              <w:rPr>
                <w:rFonts w:ascii="Times New Roman" w:hAnsi="Times New Roman" w:cs="Times New Roman"/>
              </w:rPr>
              <w:t>wektoryzacja</w:t>
            </w:r>
            <w:proofErr w:type="spellEnd"/>
            <w:r w:rsidRPr="00735AAD">
              <w:rPr>
                <w:rFonts w:ascii="Times New Roman" w:hAnsi="Times New Roman" w:cs="Times New Roman"/>
              </w:rPr>
              <w:t>) czy funkcje AI, co umożliwi optymalizację wykorzystania kluczowych zasobów w zależności od potrzeb.</w:t>
            </w:r>
          </w:p>
        </w:tc>
        <w:tc>
          <w:tcPr>
            <w:tcW w:w="1246" w:type="dxa"/>
            <w:tcBorders>
              <w:top w:val="single" w:sz="4" w:space="0" w:color="000000"/>
              <w:left w:val="single" w:sz="4" w:space="0" w:color="000000"/>
              <w:bottom w:val="single" w:sz="4" w:space="0" w:color="000000"/>
              <w:right w:val="single" w:sz="4" w:space="0" w:color="000000"/>
            </w:tcBorders>
            <w:vAlign w:val="center"/>
          </w:tcPr>
          <w:p w14:paraId="5A5EB4E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0011552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4B8134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D38959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ECEF61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powinien posiadać architekturę wdrożeniowa opartą na konteneryzacji, co pozwoli elastycznie przenosić i zarządzać wdrożeniem w różnych środowiskach wirtualizacji wspierających ogólnodostępne standardy.</w:t>
            </w:r>
          </w:p>
        </w:tc>
        <w:tc>
          <w:tcPr>
            <w:tcW w:w="1246" w:type="dxa"/>
            <w:tcBorders>
              <w:top w:val="single" w:sz="4" w:space="0" w:color="000000"/>
              <w:left w:val="single" w:sz="4" w:space="0" w:color="000000"/>
              <w:bottom w:val="single" w:sz="4" w:space="0" w:color="000000"/>
              <w:right w:val="single" w:sz="4" w:space="0" w:color="000000"/>
            </w:tcBorders>
            <w:vAlign w:val="center"/>
          </w:tcPr>
          <w:p w14:paraId="24C42B2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1987842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EF3E72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4C7F5F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633CB8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API do wszystkich funkcji i modułów systemu, co pozwoli na dowolną integrację i rozwój systemu w przyszłości.</w:t>
            </w:r>
          </w:p>
        </w:tc>
        <w:tc>
          <w:tcPr>
            <w:tcW w:w="1246" w:type="dxa"/>
            <w:tcBorders>
              <w:top w:val="single" w:sz="4" w:space="0" w:color="000000"/>
              <w:left w:val="single" w:sz="4" w:space="0" w:color="000000"/>
              <w:bottom w:val="single" w:sz="4" w:space="0" w:color="000000"/>
              <w:right w:val="single" w:sz="4" w:space="0" w:color="000000"/>
            </w:tcBorders>
            <w:vAlign w:val="center"/>
          </w:tcPr>
          <w:p w14:paraId="7C1439A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5605479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F64004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DF77AD7"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A30625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być wyposażony we wbudowany w system silnik procesów oraz rozbudowane mechanizmy konfiguracyjne umożliwiające zarówno konfigurowanie i wdrażanie w organizacji nowych procesów jak i zmianę i dostosowanie procesów istniejących w przypadku zmian prawnych lub organizacyjnych przez wyszkolonych administratorów systemu.</w:t>
            </w:r>
          </w:p>
        </w:tc>
        <w:tc>
          <w:tcPr>
            <w:tcW w:w="1246" w:type="dxa"/>
            <w:tcBorders>
              <w:top w:val="single" w:sz="4" w:space="0" w:color="000000"/>
              <w:left w:val="single" w:sz="4" w:space="0" w:color="000000"/>
              <w:bottom w:val="single" w:sz="4" w:space="0" w:color="000000"/>
              <w:right w:val="single" w:sz="4" w:space="0" w:color="000000"/>
            </w:tcBorders>
            <w:vAlign w:val="center"/>
          </w:tcPr>
          <w:p w14:paraId="2D3AAF4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5180944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E6B5EE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A6A8AF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461046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wbudowany mechanizm kontroli dostępu do danych na poziomie rekordów (</w:t>
            </w:r>
            <w:proofErr w:type="spellStart"/>
            <w:r w:rsidRPr="00735AAD">
              <w:rPr>
                <w:rFonts w:ascii="Times New Roman" w:hAnsi="Times New Roman" w:cs="Times New Roman"/>
              </w:rPr>
              <w:t>Record</w:t>
            </w:r>
            <w:proofErr w:type="spellEnd"/>
            <w:r w:rsidRPr="00735AAD">
              <w:rPr>
                <w:rFonts w:ascii="Times New Roman" w:hAnsi="Times New Roman" w:cs="Times New Roman"/>
              </w:rPr>
              <w:t xml:space="preserve"> Level Security).</w:t>
            </w:r>
          </w:p>
        </w:tc>
        <w:tc>
          <w:tcPr>
            <w:tcW w:w="1246" w:type="dxa"/>
            <w:tcBorders>
              <w:top w:val="single" w:sz="4" w:space="0" w:color="000000"/>
              <w:left w:val="single" w:sz="4" w:space="0" w:color="000000"/>
              <w:bottom w:val="single" w:sz="4" w:space="0" w:color="000000"/>
              <w:right w:val="single" w:sz="4" w:space="0" w:color="000000"/>
            </w:tcBorders>
            <w:vAlign w:val="center"/>
          </w:tcPr>
          <w:p w14:paraId="78F3074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0662169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F307B1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238BD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6B7C5F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Model uprawnień systemowych musi być oparty na z góry określonych regułach dostępu do danych w zależności od roli użytkownika w procesie i miejsca w strukturze organizacyjnej, co pozwoli realizować politykę dostępu opartą o zasady </w:t>
            </w:r>
            <w:proofErr w:type="spellStart"/>
            <w:r w:rsidRPr="00735AAD">
              <w:rPr>
                <w:rFonts w:ascii="Times New Roman" w:hAnsi="Times New Roman" w:cs="Times New Roman"/>
              </w:rPr>
              <w:t>Privacy</w:t>
            </w:r>
            <w:proofErr w:type="spellEnd"/>
            <w:r w:rsidRPr="00735AAD">
              <w:rPr>
                <w:rFonts w:ascii="Times New Roman" w:hAnsi="Times New Roman" w:cs="Times New Roman"/>
              </w:rPr>
              <w:t xml:space="preserve"> By Design i </w:t>
            </w:r>
            <w:proofErr w:type="spellStart"/>
            <w:r w:rsidRPr="00735AAD">
              <w:rPr>
                <w:rFonts w:ascii="Times New Roman" w:hAnsi="Times New Roman" w:cs="Times New Roman"/>
              </w:rPr>
              <w:t>Privacy</w:t>
            </w:r>
            <w:proofErr w:type="spellEnd"/>
            <w:r w:rsidRPr="00735AAD">
              <w:rPr>
                <w:rFonts w:ascii="Times New Roman" w:hAnsi="Times New Roman" w:cs="Times New Roman"/>
              </w:rPr>
              <w:t xml:space="preserve"> By </w:t>
            </w:r>
            <w:proofErr w:type="spellStart"/>
            <w:r w:rsidRPr="00735AAD">
              <w:rPr>
                <w:rFonts w:ascii="Times New Roman" w:hAnsi="Times New Roman" w:cs="Times New Roman"/>
              </w:rPr>
              <w:t>Default</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733263E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2496507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B08D75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1EE6B09"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53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28CF7B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Wymagalność i rodzaj przetwarzanych danych musi być dostosowywana do procesów, które są wdrażane i wynikają tylko i wyłącznie z polityki organizacji korzystającej z SEOD i muszą być do niej dostosowywane za pomocą odpowiednich mechanizmów konfiguracyjnych.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1508BB5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7397049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657368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3A2EC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C2139A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Każda operacja na danych (wprowadzanie, modyfikacja) musi być zapisywana w logu audytowym. Możliwość modyfikacji danych musi być kontrolowana w zależności od etapu procesu i uprawnień użytkownika zgodnie z polityką organizacji.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51AE49E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4237139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DBFE44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AD4D287"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19D894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być wyposażony w mechanizmu monitoringu w czasie rzeczywistym kluczowych parametrów wydajnościowych takich jak: czas realizacji żądań, obciążenie procesorów, wykorzystanie pamięci, zajętość i obciążenie operacjami I/O dysków.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23A8CCA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643410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CFA06A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5A662A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B242E4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Mechanizmy monitoringu muszą umożliwiać obserwowanie bieżących parametrów na wykresach i ustawianie powiadomień w przypadku przekroczenia wartości alarmowych dla kluczowych parametrów.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760F88A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6313209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AD2517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EDDC69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D17DF0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Powiadomienia systemowe muszą być powiązane z usługą wsparcia opartą o jasno określone czasy reakcji (SLA) w celu realizacji proaktywnego zabezpieczenie stabilności działania systemu, tj. dostawca jest zobowiązany reagować na powiadomienia o przekroczeniach ostrzegawczych poziomów parametrów a nie tylko na awarie.</w:t>
            </w:r>
          </w:p>
        </w:tc>
        <w:tc>
          <w:tcPr>
            <w:tcW w:w="1246" w:type="dxa"/>
            <w:tcBorders>
              <w:top w:val="single" w:sz="4" w:space="0" w:color="000000"/>
              <w:left w:val="single" w:sz="4" w:space="0" w:color="000000"/>
              <w:bottom w:val="single" w:sz="4" w:space="0" w:color="000000"/>
              <w:right w:val="single" w:sz="4" w:space="0" w:color="000000"/>
            </w:tcBorders>
            <w:vAlign w:val="center"/>
          </w:tcPr>
          <w:p w14:paraId="67D4D3E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6603770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277F540" w14:textId="77777777" w:rsidTr="00735AAD">
        <w:trPr>
          <w:trHeight w:val="283"/>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218CD299"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Dostępność cyfrowa SEOD</w:t>
            </w:r>
          </w:p>
        </w:tc>
      </w:tr>
      <w:tr w:rsidR="00735AAD" w:rsidRPr="00735AAD" w14:paraId="6AA0A92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085E8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1F6FC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od strony interfejsu użytkownika końcowego musi spełniać wymagania Krajowych Ram Interoperacyjności, w tym obowiązujący standard WCAG, co najmniej w zakresie opisanym w punktach 59 – 80.</w:t>
            </w:r>
          </w:p>
        </w:tc>
        <w:tc>
          <w:tcPr>
            <w:tcW w:w="1246" w:type="dxa"/>
            <w:tcBorders>
              <w:top w:val="single" w:sz="4" w:space="0" w:color="000000"/>
              <w:left w:val="single" w:sz="4" w:space="0" w:color="000000"/>
              <w:bottom w:val="single" w:sz="4" w:space="0" w:color="000000"/>
              <w:right w:val="single" w:sz="4" w:space="0" w:color="000000"/>
            </w:tcBorders>
            <w:vAlign w:val="center"/>
          </w:tcPr>
          <w:p w14:paraId="3410267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5040118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45B555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085212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E5641B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Stosowanie nagłówków w prawidłowej hierarchii na wszystkich stronach, unikając budowy serwisu w oparciu o tabele jako elementów konstrukcji layoutu.</w:t>
            </w:r>
          </w:p>
        </w:tc>
        <w:tc>
          <w:tcPr>
            <w:tcW w:w="1246" w:type="dxa"/>
            <w:tcBorders>
              <w:top w:val="single" w:sz="4" w:space="0" w:color="000000"/>
              <w:left w:val="single" w:sz="4" w:space="0" w:color="000000"/>
              <w:bottom w:val="single" w:sz="4" w:space="0" w:color="000000"/>
              <w:right w:val="single" w:sz="4" w:space="0" w:color="000000"/>
            </w:tcBorders>
            <w:vAlign w:val="center"/>
          </w:tcPr>
          <w:p w14:paraId="4E23F42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9120269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5226DD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EE6A3A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12139D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Przedstawianie mechanizmów nawigacyjnych za pomocą list nieuporządkowanych, co zapewnia czytelność i intuicyjną nawigację.</w:t>
            </w:r>
          </w:p>
        </w:tc>
        <w:tc>
          <w:tcPr>
            <w:tcW w:w="1246" w:type="dxa"/>
            <w:tcBorders>
              <w:top w:val="single" w:sz="4" w:space="0" w:color="000000"/>
              <w:left w:val="single" w:sz="4" w:space="0" w:color="000000"/>
              <w:bottom w:val="single" w:sz="4" w:space="0" w:color="000000"/>
              <w:right w:val="single" w:sz="4" w:space="0" w:color="000000"/>
            </w:tcBorders>
            <w:vAlign w:val="center"/>
          </w:tcPr>
          <w:p w14:paraId="72B42CA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6487592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C064A1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4DDC9A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B8CA8C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Logiczna i intuicyjna kolejność nawigacji i czytania określaną za pomocą kodu HTML.</w:t>
            </w:r>
          </w:p>
        </w:tc>
        <w:tc>
          <w:tcPr>
            <w:tcW w:w="1246" w:type="dxa"/>
            <w:tcBorders>
              <w:top w:val="single" w:sz="4" w:space="0" w:color="000000"/>
              <w:left w:val="single" w:sz="4" w:space="0" w:color="000000"/>
              <w:bottom w:val="single" w:sz="4" w:space="0" w:color="000000"/>
              <w:right w:val="single" w:sz="4" w:space="0" w:color="000000"/>
            </w:tcBorders>
            <w:vAlign w:val="center"/>
          </w:tcPr>
          <w:p w14:paraId="7E34008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7883378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AA9E57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55FE3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6059ED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Logiczna, spójna, przejrzysta i przewidywalna architektura informacji w serwisie.</w:t>
            </w:r>
          </w:p>
        </w:tc>
        <w:tc>
          <w:tcPr>
            <w:tcW w:w="1246" w:type="dxa"/>
            <w:tcBorders>
              <w:top w:val="single" w:sz="4" w:space="0" w:color="000000"/>
              <w:left w:val="single" w:sz="4" w:space="0" w:color="000000"/>
              <w:bottom w:val="single" w:sz="4" w:space="0" w:color="000000"/>
              <w:right w:val="single" w:sz="4" w:space="0" w:color="000000"/>
            </w:tcBorders>
            <w:vAlign w:val="center"/>
          </w:tcPr>
          <w:p w14:paraId="00AAFC9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6495334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73ED15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2D48BD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F06010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Uwzględnianie różnych aspektów percepcji w elementach nawigacyjnych i komunikatach, nie polegając tylko na charakterystykach zmysłowych.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3462A41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2810674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01FB6F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FF0CFA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45B924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Wyróżnianie odnośników w treściach artykułów za pomocą podkreślenia oraz kolorem.</w:t>
            </w:r>
          </w:p>
        </w:tc>
        <w:tc>
          <w:tcPr>
            <w:tcW w:w="1246" w:type="dxa"/>
            <w:tcBorders>
              <w:top w:val="single" w:sz="4" w:space="0" w:color="000000"/>
              <w:left w:val="single" w:sz="4" w:space="0" w:color="000000"/>
              <w:bottom w:val="single" w:sz="4" w:space="0" w:color="000000"/>
              <w:right w:val="single" w:sz="4" w:space="0" w:color="000000"/>
            </w:tcBorders>
            <w:vAlign w:val="center"/>
          </w:tcPr>
          <w:p w14:paraId="2807D91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7190029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044752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BBA443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3D7FE2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Eliminacja potencjalnych uciążliwości dla użytkowników poprzez brak automatycznego odtwarzania dźwięku po wczytaniu strony.</w:t>
            </w:r>
          </w:p>
        </w:tc>
        <w:tc>
          <w:tcPr>
            <w:tcW w:w="1246" w:type="dxa"/>
            <w:tcBorders>
              <w:top w:val="single" w:sz="4" w:space="0" w:color="000000"/>
              <w:left w:val="single" w:sz="4" w:space="0" w:color="000000"/>
              <w:bottom w:val="single" w:sz="4" w:space="0" w:color="000000"/>
              <w:right w:val="single" w:sz="4" w:space="0" w:color="000000"/>
            </w:tcBorders>
            <w:vAlign w:val="center"/>
          </w:tcPr>
          <w:p w14:paraId="703EB22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1214883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311DAE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4F390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34A9B0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Dostęp do wersji kontrastowej serwisu, zachowującej zawartość i funkcjonalność wersji graficznej, dla osób z wrażliwością na kontrast.</w:t>
            </w:r>
          </w:p>
        </w:tc>
        <w:tc>
          <w:tcPr>
            <w:tcW w:w="1246" w:type="dxa"/>
            <w:tcBorders>
              <w:top w:val="single" w:sz="4" w:space="0" w:color="000000"/>
              <w:left w:val="single" w:sz="4" w:space="0" w:color="000000"/>
              <w:bottom w:val="single" w:sz="4" w:space="0" w:color="000000"/>
              <w:right w:val="single" w:sz="4" w:space="0" w:color="000000"/>
            </w:tcBorders>
            <w:vAlign w:val="center"/>
          </w:tcPr>
          <w:p w14:paraId="102B2AB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3460871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0B3DBC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08EEB9"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4BAF84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Prawidłowe wyświetlanie w systemowym trybie wysokiego kontrastu.</w:t>
            </w:r>
          </w:p>
        </w:tc>
        <w:tc>
          <w:tcPr>
            <w:tcW w:w="1246" w:type="dxa"/>
            <w:tcBorders>
              <w:top w:val="single" w:sz="4" w:space="0" w:color="000000"/>
              <w:left w:val="single" w:sz="4" w:space="0" w:color="000000"/>
              <w:bottom w:val="single" w:sz="4" w:space="0" w:color="000000"/>
              <w:right w:val="single" w:sz="4" w:space="0" w:color="000000"/>
            </w:tcBorders>
            <w:vAlign w:val="center"/>
          </w:tcPr>
          <w:p w14:paraId="23D3000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92918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A8487D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039B6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6E12D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Zaprojektowanie typografii tekstów i kontrastów pod kątem czytelności.</w:t>
            </w:r>
          </w:p>
        </w:tc>
        <w:tc>
          <w:tcPr>
            <w:tcW w:w="1246" w:type="dxa"/>
            <w:tcBorders>
              <w:top w:val="single" w:sz="4" w:space="0" w:color="000000"/>
              <w:left w:val="single" w:sz="4" w:space="0" w:color="000000"/>
              <w:bottom w:val="single" w:sz="4" w:space="0" w:color="000000"/>
              <w:right w:val="single" w:sz="4" w:space="0" w:color="000000"/>
            </w:tcBorders>
            <w:vAlign w:val="center"/>
          </w:tcPr>
          <w:p w14:paraId="01D59A1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0505014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9D9E9B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95B509E"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F30995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Brak utraty zawartości i funkcjonalności serwisu po powiększeniu czcionki do 200%.</w:t>
            </w:r>
          </w:p>
        </w:tc>
        <w:tc>
          <w:tcPr>
            <w:tcW w:w="1246" w:type="dxa"/>
            <w:tcBorders>
              <w:top w:val="single" w:sz="4" w:space="0" w:color="000000"/>
              <w:left w:val="single" w:sz="4" w:space="0" w:color="000000"/>
              <w:bottom w:val="single" w:sz="4" w:space="0" w:color="000000"/>
              <w:right w:val="single" w:sz="4" w:space="0" w:color="000000"/>
            </w:tcBorders>
            <w:vAlign w:val="center"/>
          </w:tcPr>
          <w:p w14:paraId="16774D3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764454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769618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7E79D7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90E0D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Preferowanie prezentacji treści za pomocą tekstu zamiast grafiki, jeśli to możliwe.</w:t>
            </w:r>
          </w:p>
        </w:tc>
        <w:tc>
          <w:tcPr>
            <w:tcW w:w="1246" w:type="dxa"/>
            <w:tcBorders>
              <w:top w:val="single" w:sz="4" w:space="0" w:color="000000"/>
              <w:left w:val="single" w:sz="4" w:space="0" w:color="000000"/>
              <w:bottom w:val="single" w:sz="4" w:space="0" w:color="000000"/>
              <w:right w:val="single" w:sz="4" w:space="0" w:color="000000"/>
            </w:tcBorders>
            <w:vAlign w:val="center"/>
          </w:tcPr>
          <w:p w14:paraId="100E15D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5624534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7F8D5E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0CF5241"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C937C2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Nawigację za pomocą klawiatury przy użyciu skrótów klawiszowych oraz widoczny fokus, spełniający minimalne wymagania kontrastu.</w:t>
            </w:r>
          </w:p>
        </w:tc>
        <w:tc>
          <w:tcPr>
            <w:tcW w:w="1246" w:type="dxa"/>
            <w:tcBorders>
              <w:top w:val="single" w:sz="4" w:space="0" w:color="000000"/>
              <w:left w:val="single" w:sz="4" w:space="0" w:color="000000"/>
              <w:bottom w:val="single" w:sz="4" w:space="0" w:color="000000"/>
              <w:right w:val="single" w:sz="4" w:space="0" w:color="000000"/>
            </w:tcBorders>
            <w:vAlign w:val="center"/>
          </w:tcPr>
          <w:p w14:paraId="210DC2D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2730586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7EB467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032B4F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45459F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Unikalne tytuły na wszystkich stronach serwisu i zrozumiałe odnośniki, jednoznacznie informujące użytkownika o celu lub akcji.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330C3F7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7145972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9015BF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FB30B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A882B6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Dodatkowe sposoby odnalezienia informacji, takie jak wyszukiwarka.</w:t>
            </w:r>
          </w:p>
        </w:tc>
        <w:tc>
          <w:tcPr>
            <w:tcW w:w="1246" w:type="dxa"/>
            <w:tcBorders>
              <w:top w:val="single" w:sz="4" w:space="0" w:color="000000"/>
              <w:left w:val="single" w:sz="4" w:space="0" w:color="000000"/>
              <w:bottom w:val="single" w:sz="4" w:space="0" w:color="000000"/>
              <w:right w:val="single" w:sz="4" w:space="0" w:color="000000"/>
            </w:tcBorders>
            <w:vAlign w:val="center"/>
          </w:tcPr>
          <w:p w14:paraId="74F5E93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6474751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AEE282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4320359"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B7476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Zrozumienie treści dla osób korzystających z technologii wspomagających </w:t>
            </w:r>
            <w:r w:rsidRPr="00735AAD">
              <w:rPr>
                <w:rFonts w:ascii="Times New Roman" w:hAnsi="Times New Roman" w:cs="Times New Roman"/>
              </w:rPr>
              <w:lastRenderedPageBreak/>
              <w:t>tłumaczenie i odczyt dzięki adekwatnemu głównemu językowi dokumentu do wersji językowej.</w:t>
            </w:r>
          </w:p>
        </w:tc>
        <w:tc>
          <w:tcPr>
            <w:tcW w:w="1246" w:type="dxa"/>
            <w:tcBorders>
              <w:top w:val="single" w:sz="4" w:space="0" w:color="000000"/>
              <w:left w:val="single" w:sz="4" w:space="0" w:color="000000"/>
              <w:bottom w:val="single" w:sz="4" w:space="0" w:color="000000"/>
              <w:right w:val="single" w:sz="4" w:space="0" w:color="000000"/>
            </w:tcBorders>
            <w:vAlign w:val="center"/>
          </w:tcPr>
          <w:p w14:paraId="2B3AD44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2805244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E4AB33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87CFF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75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E410D9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Brak automatycznych zmian kontekstu przy zmianie ustawień interfejsu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70B441B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3387140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874141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2CB4BB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C25289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Opatrzenie wszystkich pól formularzy etykietami i sugestie rozwiązania w przypadku błędów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6892F2A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467463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B91155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336FE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858B79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Zgodność ze standardami HTML i CSS, zarówno w szablonach, jak i generowanym kodzie, oraz wykorzystanie technologii wspierających dostępność, takich jak Java </w:t>
            </w:r>
            <w:proofErr w:type="spellStart"/>
            <w:r w:rsidRPr="00735AAD">
              <w:rPr>
                <w:rFonts w:ascii="Times New Roman" w:hAnsi="Times New Roman" w:cs="Times New Roman"/>
              </w:rPr>
              <w:t>Script</w:t>
            </w:r>
            <w:proofErr w:type="spellEnd"/>
            <w:r w:rsidRPr="00735AAD">
              <w:rPr>
                <w:rFonts w:ascii="Times New Roman" w:hAnsi="Times New Roman" w:cs="Times New Roman"/>
              </w:rPr>
              <w:t xml:space="preserve"> i PDF.</w:t>
            </w:r>
          </w:p>
        </w:tc>
        <w:tc>
          <w:tcPr>
            <w:tcW w:w="1246" w:type="dxa"/>
            <w:tcBorders>
              <w:top w:val="single" w:sz="4" w:space="0" w:color="000000"/>
              <w:left w:val="single" w:sz="4" w:space="0" w:color="000000"/>
              <w:bottom w:val="single" w:sz="4" w:space="0" w:color="000000"/>
              <w:right w:val="single" w:sz="4" w:space="0" w:color="000000"/>
            </w:tcBorders>
            <w:vAlign w:val="center"/>
          </w:tcPr>
          <w:p w14:paraId="7E87674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9615525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BDA0C5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7EC4D4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5E3A4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Spełnienie wytycznych dotyczących kolorystyki dla osób słabowidzących w wersji kontrastowej, zapewniającej odpowiedni kontrast tekstu i elementów interfejsu.</w:t>
            </w:r>
          </w:p>
        </w:tc>
        <w:tc>
          <w:tcPr>
            <w:tcW w:w="1246" w:type="dxa"/>
            <w:tcBorders>
              <w:top w:val="single" w:sz="4" w:space="0" w:color="000000"/>
              <w:left w:val="single" w:sz="4" w:space="0" w:color="000000"/>
              <w:bottom w:val="single" w:sz="4" w:space="0" w:color="000000"/>
              <w:right w:val="single" w:sz="4" w:space="0" w:color="000000"/>
            </w:tcBorders>
            <w:vAlign w:val="center"/>
          </w:tcPr>
          <w:p w14:paraId="1CEE450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3692252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A3AE10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717F1F7"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CAA8FE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Powiększanie czcionki i dostępne przyciski powiększania tekstu nawigacji i innych bloków treści.</w:t>
            </w:r>
          </w:p>
        </w:tc>
        <w:tc>
          <w:tcPr>
            <w:tcW w:w="1246" w:type="dxa"/>
            <w:tcBorders>
              <w:top w:val="single" w:sz="4" w:space="0" w:color="000000"/>
              <w:left w:val="single" w:sz="4" w:space="0" w:color="000000"/>
              <w:bottom w:val="single" w:sz="4" w:space="0" w:color="000000"/>
              <w:right w:val="single" w:sz="4" w:space="0" w:color="000000"/>
            </w:tcBorders>
            <w:vAlign w:val="center"/>
          </w:tcPr>
          <w:p w14:paraId="665EB46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1396802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24CF7B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D6AF31"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A0BBDC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Działanie powiększenia czcionki na wszystkich podstronach oraz widoczne i dostępne przyciski dostępności z poziomu klawiatury przy użyciu skrótów klawiszowych.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7F7B252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0548649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4C34E82"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4DC76039"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Autoryzacja i administrowanie systemem</w:t>
            </w:r>
          </w:p>
        </w:tc>
      </w:tr>
      <w:tr w:rsidR="00735AAD" w:rsidRPr="00735AAD" w14:paraId="5BA9E6F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3A7CF5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C9BE5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z poziomu administratora możliwość konfigurowania interfejsu użytkownika (menu systemowe i formularze) w zależności od roli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71977D2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2565269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DFF73F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00E4D7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FBE05B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Zarządzanie użytkownikami z poziomu dedykowanego modułu administracyjnego dostępnego przez przeglądarkę internetową.</w:t>
            </w:r>
          </w:p>
        </w:tc>
        <w:tc>
          <w:tcPr>
            <w:tcW w:w="1246" w:type="dxa"/>
            <w:tcBorders>
              <w:top w:val="single" w:sz="4" w:space="0" w:color="000000"/>
              <w:left w:val="single" w:sz="4" w:space="0" w:color="000000"/>
              <w:bottom w:val="single" w:sz="4" w:space="0" w:color="000000"/>
              <w:right w:val="single" w:sz="4" w:space="0" w:color="000000"/>
            </w:tcBorders>
            <w:vAlign w:val="center"/>
          </w:tcPr>
          <w:p w14:paraId="17ED847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5070319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AB3834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0FAC8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05BB2C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Weryfikacja (autoryzacja) użytkowników poprzez login i hasło.</w:t>
            </w:r>
          </w:p>
        </w:tc>
        <w:tc>
          <w:tcPr>
            <w:tcW w:w="1246" w:type="dxa"/>
            <w:tcBorders>
              <w:top w:val="single" w:sz="4" w:space="0" w:color="000000"/>
              <w:left w:val="single" w:sz="4" w:space="0" w:color="000000"/>
              <w:bottom w:val="single" w:sz="4" w:space="0" w:color="000000"/>
              <w:right w:val="single" w:sz="4" w:space="0" w:color="000000"/>
            </w:tcBorders>
            <w:vAlign w:val="center"/>
          </w:tcPr>
          <w:p w14:paraId="78E66B6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5770864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701845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3C0C0A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4AC339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mechanizm podwójnej autoryzacji przy pomocy e-mail oraz aplikacji generującej klucz uwierzytelniający (</w:t>
            </w:r>
            <w:proofErr w:type="spellStart"/>
            <w:r w:rsidRPr="00735AAD">
              <w:rPr>
                <w:rFonts w:ascii="Times New Roman" w:hAnsi="Times New Roman" w:cs="Times New Roman"/>
              </w:rPr>
              <w:t>token</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3D440F0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973676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4ED2E0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03DEC2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29A183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pozwolić na wykorzystanie mechanizmu podwójnej autoryzacji w procesach akceptacji wykorzystywanych w obiegach.</w:t>
            </w:r>
          </w:p>
        </w:tc>
        <w:tc>
          <w:tcPr>
            <w:tcW w:w="1246" w:type="dxa"/>
            <w:tcBorders>
              <w:top w:val="single" w:sz="4" w:space="0" w:color="000000"/>
              <w:left w:val="single" w:sz="4" w:space="0" w:color="000000"/>
              <w:bottom w:val="single" w:sz="4" w:space="0" w:color="000000"/>
              <w:right w:val="single" w:sz="4" w:space="0" w:color="000000"/>
            </w:tcBorders>
            <w:vAlign w:val="center"/>
          </w:tcPr>
          <w:p w14:paraId="5CA0EE9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2122434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D63C58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0BBE5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F9152B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przechowywać unikalne dane autoryzacyjne związane z wykonanym polecenia lub logowaniem, dane musze być dostępne dla administratorów lub osób wskazanych w procesach.</w:t>
            </w:r>
          </w:p>
        </w:tc>
        <w:tc>
          <w:tcPr>
            <w:tcW w:w="1246" w:type="dxa"/>
            <w:tcBorders>
              <w:top w:val="single" w:sz="4" w:space="0" w:color="000000"/>
              <w:left w:val="single" w:sz="4" w:space="0" w:color="000000"/>
              <w:bottom w:val="single" w:sz="4" w:space="0" w:color="000000"/>
              <w:right w:val="single" w:sz="4" w:space="0" w:color="000000"/>
            </w:tcBorders>
            <w:vAlign w:val="center"/>
          </w:tcPr>
          <w:p w14:paraId="351E104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9001623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4803DE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9D429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710EC2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Zarządzanie polityką haseł poprzez definiowanie:</w:t>
            </w:r>
          </w:p>
          <w:p w14:paraId="6F3F9430" w14:textId="77777777" w:rsidR="00735AAD" w:rsidRPr="00735AAD" w:rsidRDefault="00735AAD" w:rsidP="00735AAD">
            <w:pPr>
              <w:pStyle w:val="Akapitzlist"/>
              <w:numPr>
                <w:ilvl w:val="0"/>
                <w:numId w:val="13"/>
              </w:numPr>
              <w:spacing w:after="0" w:line="240" w:lineRule="auto"/>
              <w:jc w:val="both"/>
              <w:rPr>
                <w:rFonts w:ascii="Times New Roman" w:hAnsi="Times New Roman" w:cs="Times New Roman"/>
              </w:rPr>
            </w:pPr>
            <w:r w:rsidRPr="00735AAD">
              <w:rPr>
                <w:rFonts w:ascii="Times New Roman" w:hAnsi="Times New Roman" w:cs="Times New Roman"/>
              </w:rPr>
              <w:t>konfigurowalnej minimalnej długości hasła;</w:t>
            </w:r>
          </w:p>
          <w:p w14:paraId="7524EC59" w14:textId="77777777" w:rsidR="00735AAD" w:rsidRPr="00735AAD" w:rsidRDefault="00735AAD" w:rsidP="00735AAD">
            <w:pPr>
              <w:pStyle w:val="Akapitzlist"/>
              <w:numPr>
                <w:ilvl w:val="0"/>
                <w:numId w:val="13"/>
              </w:numPr>
              <w:spacing w:after="0" w:line="240" w:lineRule="auto"/>
              <w:jc w:val="both"/>
              <w:rPr>
                <w:rFonts w:ascii="Times New Roman" w:hAnsi="Times New Roman" w:cs="Times New Roman"/>
              </w:rPr>
            </w:pPr>
            <w:r w:rsidRPr="00735AAD">
              <w:rPr>
                <w:rFonts w:ascii="Times New Roman" w:hAnsi="Times New Roman" w:cs="Times New Roman"/>
              </w:rPr>
              <w:t>reguł wymuszających, aby hasło zawierało duże i małe litery oraz cyfry lub znaki specjalne;</w:t>
            </w:r>
          </w:p>
          <w:p w14:paraId="248BF65D" w14:textId="77777777" w:rsidR="00735AAD" w:rsidRPr="00735AAD" w:rsidRDefault="00735AAD" w:rsidP="00735AAD">
            <w:pPr>
              <w:pStyle w:val="Akapitzlist"/>
              <w:numPr>
                <w:ilvl w:val="0"/>
                <w:numId w:val="13"/>
              </w:numPr>
              <w:spacing w:after="0" w:line="240" w:lineRule="auto"/>
              <w:jc w:val="both"/>
              <w:rPr>
                <w:rFonts w:ascii="Times New Roman" w:hAnsi="Times New Roman" w:cs="Times New Roman"/>
              </w:rPr>
            </w:pPr>
            <w:r w:rsidRPr="00735AAD">
              <w:rPr>
                <w:rFonts w:ascii="Times New Roman" w:hAnsi="Times New Roman" w:cs="Times New Roman"/>
              </w:rPr>
              <w:t>wymogu zmiany hasła nie rzadziej niż co 30 dni;</w:t>
            </w:r>
          </w:p>
          <w:p w14:paraId="2877142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Hasła muszą być przechowywane w formacie zaszyfrowanym.</w:t>
            </w:r>
          </w:p>
        </w:tc>
        <w:tc>
          <w:tcPr>
            <w:tcW w:w="1246" w:type="dxa"/>
            <w:tcBorders>
              <w:top w:val="single" w:sz="4" w:space="0" w:color="000000"/>
              <w:left w:val="single" w:sz="4" w:space="0" w:color="000000"/>
              <w:bottom w:val="single" w:sz="4" w:space="0" w:color="000000"/>
              <w:right w:val="single" w:sz="4" w:space="0" w:color="000000"/>
            </w:tcBorders>
            <w:vAlign w:val="center"/>
          </w:tcPr>
          <w:p w14:paraId="7B4C986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1007398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8010EE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6D48D1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3352C4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Zapis sesji użytkowników w logach systemowych.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49EF9A5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7912384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208B2C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BA604E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89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B168F8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Generowanie raportów z informacją o użytkownikach systemu, realizowanych zadaniach, przyznanych uprawnieniach.</w:t>
            </w:r>
          </w:p>
        </w:tc>
        <w:tc>
          <w:tcPr>
            <w:tcW w:w="1246" w:type="dxa"/>
            <w:tcBorders>
              <w:top w:val="single" w:sz="4" w:space="0" w:color="000000"/>
              <w:left w:val="single" w:sz="4" w:space="0" w:color="000000"/>
              <w:bottom w:val="single" w:sz="4" w:space="0" w:color="000000"/>
              <w:right w:val="single" w:sz="4" w:space="0" w:color="000000"/>
            </w:tcBorders>
            <w:vAlign w:val="center"/>
          </w:tcPr>
          <w:p w14:paraId="4B8CC25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8336513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9E619F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BFBCC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0BA36E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Blokowanie dostępu do SEOD dla wybranych użytkowników przez administratora SEOD.</w:t>
            </w:r>
          </w:p>
        </w:tc>
        <w:tc>
          <w:tcPr>
            <w:tcW w:w="1246" w:type="dxa"/>
            <w:tcBorders>
              <w:top w:val="single" w:sz="4" w:space="0" w:color="000000"/>
              <w:left w:val="single" w:sz="4" w:space="0" w:color="000000"/>
              <w:bottom w:val="single" w:sz="4" w:space="0" w:color="000000"/>
              <w:right w:val="single" w:sz="4" w:space="0" w:color="000000"/>
            </w:tcBorders>
            <w:vAlign w:val="center"/>
          </w:tcPr>
          <w:p w14:paraId="22D9D5A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0455276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F2EE50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B7E2E2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2BE8FA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budowanie oraz obsługę szablonów dokumentów przez administratorów.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039AA81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6194326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3B7B1E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51413C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E46BC6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konfigurację dostępu do poleceń widzianych przez użytkowników.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4AB603A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6441785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2B9ABC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31C62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8AFBE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Obsługa słowników zdefiniowanych dla procesów biznesowych.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3FEF19B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6978423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E63B91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7FF3979"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54CA46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Zarządzenie uprawnieniami dostępu do tworzenia spraw związanych z poszczególnymi procesami biznesowymi oraz widoków z nimi związanych.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784D091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4616261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59232C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2C05E2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8E7E95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Definiowanie numeratorów dokumentów w obrębie procesu biznesowego.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73F0524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1243719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7DE3C1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4B20DC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DC741D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System musi pozwalać na dodawania do spraw plików/załączników.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5035B7E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216094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5F3FFE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3B335C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224EA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System umożliwi na dodawanym do sprawy pliku/załączniku określenie </w:t>
            </w:r>
            <w:r w:rsidRPr="00735AAD">
              <w:rPr>
                <w:rFonts w:ascii="Times New Roman" w:hAnsi="Times New Roman" w:cs="Times New Roman"/>
              </w:rPr>
              <w:lastRenderedPageBreak/>
              <w:t>poziomu dostępności (upublicznienie lub utajnienie pliku do grona wskazanych osób – w takim wypadku plik/załącznik będzie widoczny i dostępny tylko dla wskazanych użytkowników lub jednostek organizacyjnych)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5830748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605986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B13A9B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CACB04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98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F3ADEB" w14:textId="77777777" w:rsidR="00735AAD" w:rsidRPr="00735AAD" w:rsidRDefault="00735AAD" w:rsidP="00735AAD">
            <w:pPr>
              <w:shd w:val="clear" w:color="auto" w:fill="FFFFFF"/>
              <w:spacing w:after="0"/>
              <w:jc w:val="both"/>
              <w:rPr>
                <w:rFonts w:ascii="Times New Roman" w:hAnsi="Times New Roman" w:cs="Times New Roman"/>
              </w:rPr>
            </w:pPr>
            <w:r w:rsidRPr="00735AAD">
              <w:rPr>
                <w:rFonts w:ascii="Times New Roman" w:hAnsi="Times New Roman" w:cs="Times New Roman"/>
              </w:rPr>
              <w:t xml:space="preserve">SEOD musi posiadać wbudowany mechanizm importu danych z plików, baz danych, wiadomości e-mail. </w:t>
            </w:r>
          </w:p>
          <w:p w14:paraId="3A640290" w14:textId="77777777" w:rsidR="00735AAD" w:rsidRPr="00735AAD" w:rsidRDefault="00735AAD" w:rsidP="00735AAD">
            <w:pPr>
              <w:shd w:val="clear" w:color="auto" w:fill="FFFFFF"/>
              <w:spacing w:after="0"/>
              <w:jc w:val="both"/>
              <w:rPr>
                <w:rFonts w:ascii="Times New Roman" w:hAnsi="Times New Roman" w:cs="Times New Roman"/>
              </w:rPr>
            </w:pPr>
            <w:r w:rsidRPr="00735AAD">
              <w:rPr>
                <w:rFonts w:ascii="Times New Roman" w:hAnsi="Times New Roman" w:cs="Times New Roman"/>
              </w:rPr>
              <w:t xml:space="preserve">Zamawiający oczekuje, aby w systemie były wbudowane mechanizmy umożliwiające import danych ze skrzynek e-mailowych np. poprzez protokół IMAP lub POP-3. </w:t>
            </w:r>
          </w:p>
          <w:p w14:paraId="29C32143" w14:textId="77777777" w:rsidR="00735AAD" w:rsidRPr="00735AAD" w:rsidRDefault="00735AAD" w:rsidP="00735AAD">
            <w:pPr>
              <w:shd w:val="clear" w:color="auto" w:fill="FFFFFF"/>
              <w:spacing w:after="0"/>
              <w:jc w:val="both"/>
              <w:rPr>
                <w:rFonts w:ascii="Times New Roman" w:hAnsi="Times New Roman" w:cs="Times New Roman"/>
              </w:rPr>
            </w:pPr>
            <w:r w:rsidRPr="00735AAD">
              <w:rPr>
                <w:rFonts w:ascii="Times New Roman" w:hAnsi="Times New Roman" w:cs="Times New Roman"/>
              </w:rPr>
              <w:t>W zakresie mechanizmu importu baz danych SEOD musi umożliwić łączenie się przy pomocy interfejsu użytkownika do zewnętrznych baz danych z użyciem sterownika JDBC i obsługiwanych przez ten sterownik baz danych, aby np. umożliwiać cykliczne pobieranie danych z baz danych.</w:t>
            </w:r>
          </w:p>
          <w:p w14:paraId="3DDFBDBD" w14:textId="77777777" w:rsidR="00735AAD" w:rsidRPr="00735AAD" w:rsidRDefault="00735AAD" w:rsidP="00735AAD">
            <w:pPr>
              <w:shd w:val="clear" w:color="auto" w:fill="FFFFFF"/>
              <w:spacing w:after="0"/>
              <w:jc w:val="both"/>
              <w:rPr>
                <w:rFonts w:ascii="Times New Roman" w:hAnsi="Times New Roman" w:cs="Times New Roman"/>
              </w:rPr>
            </w:pPr>
            <w:r w:rsidRPr="00735AAD">
              <w:rPr>
                <w:rFonts w:ascii="Times New Roman" w:hAnsi="Times New Roman" w:cs="Times New Roman"/>
              </w:rPr>
              <w:t xml:space="preserve">W zakresie importu danych z plików Zamawiający oczekuje, aby w systemie były wbudowane mechanizmy pobierania danych minimum z plików xls, </w:t>
            </w:r>
            <w:proofErr w:type="spellStart"/>
            <w:r w:rsidRPr="00735AAD">
              <w:rPr>
                <w:rFonts w:ascii="Times New Roman" w:hAnsi="Times New Roman" w:cs="Times New Roman"/>
              </w:rPr>
              <w:t>xlsx</w:t>
            </w:r>
            <w:proofErr w:type="spellEnd"/>
            <w:r w:rsidRPr="00735AAD">
              <w:rPr>
                <w:rFonts w:ascii="Times New Roman" w:hAnsi="Times New Roman" w:cs="Times New Roman"/>
              </w:rPr>
              <w:t xml:space="preserve">, </w:t>
            </w:r>
            <w:proofErr w:type="spellStart"/>
            <w:r w:rsidRPr="00735AAD">
              <w:rPr>
                <w:rFonts w:ascii="Times New Roman" w:hAnsi="Times New Roman" w:cs="Times New Roman"/>
              </w:rPr>
              <w:t>csv</w:t>
            </w:r>
            <w:proofErr w:type="spellEnd"/>
            <w:r w:rsidRPr="00735AAD">
              <w:rPr>
                <w:rFonts w:ascii="Times New Roman" w:hAnsi="Times New Roman" w:cs="Times New Roman"/>
              </w:rPr>
              <w:t xml:space="preserve">, xls, </w:t>
            </w:r>
            <w:proofErr w:type="spellStart"/>
            <w:r w:rsidRPr="00735AAD">
              <w:rPr>
                <w:rFonts w:ascii="Times New Roman" w:hAnsi="Times New Roman" w:cs="Times New Roman"/>
              </w:rPr>
              <w:t>xml</w:t>
            </w:r>
            <w:proofErr w:type="spellEnd"/>
            <w:r w:rsidRPr="00735AAD">
              <w:rPr>
                <w:rFonts w:ascii="Times New Roman" w:hAnsi="Times New Roman" w:cs="Times New Roman"/>
              </w:rPr>
              <w:t xml:space="preserve">, </w:t>
            </w:r>
            <w:proofErr w:type="spellStart"/>
            <w:r w:rsidRPr="00735AAD">
              <w:rPr>
                <w:rFonts w:ascii="Times New Roman" w:hAnsi="Times New Roman" w:cs="Times New Roman"/>
              </w:rPr>
              <w:t>json</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4B7ED08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5896404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9345CA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62619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46B9B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Obsługa skrzynek e-mail Zamawiającego poprzez interfejs SEOD.  </w:t>
            </w:r>
          </w:p>
        </w:tc>
        <w:tc>
          <w:tcPr>
            <w:tcW w:w="1246" w:type="dxa"/>
            <w:tcBorders>
              <w:top w:val="single" w:sz="4" w:space="0" w:color="000000"/>
              <w:left w:val="single" w:sz="4" w:space="0" w:color="000000"/>
              <w:bottom w:val="single" w:sz="4" w:space="0" w:color="000000"/>
              <w:right w:val="single" w:sz="4" w:space="0" w:color="000000"/>
            </w:tcBorders>
            <w:vAlign w:val="center"/>
          </w:tcPr>
          <w:p w14:paraId="054F95D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2835640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7A5DCC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D4578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52F9BF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administratorowi podgląd kolejek wykonywanych zadań wraz ze szczegółowymi danymi dotyczącymi przetwarzanych danych.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5E7FCB4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4672742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91CFC0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11469EE"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730B7E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posiadać wbudowanych mechanizm importu danych z pliku/zewnętrznej bazy danych. </w:t>
            </w:r>
          </w:p>
        </w:tc>
        <w:tc>
          <w:tcPr>
            <w:tcW w:w="1246" w:type="dxa"/>
            <w:tcBorders>
              <w:top w:val="single" w:sz="4" w:space="0" w:color="000000"/>
              <w:left w:val="single" w:sz="4" w:space="0" w:color="000000"/>
              <w:bottom w:val="single" w:sz="4" w:space="0" w:color="000000"/>
              <w:right w:val="single" w:sz="4" w:space="0" w:color="000000"/>
            </w:tcBorders>
            <w:vAlign w:val="center"/>
          </w:tcPr>
          <w:p w14:paraId="530C476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8635399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7D08E85"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07FCC9A6"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Obsługa zadań systemowych</w:t>
            </w:r>
          </w:p>
        </w:tc>
      </w:tr>
      <w:tr w:rsidR="00735AAD" w:rsidRPr="00735AAD" w14:paraId="2AE2782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6F8340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AF17EE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Zadanie systemowe to zadanie, które zostaje przydzielone do danego użytkownika, grupy użytkowników lub jednostki organizacyjnej w ramach obsługi sprawy na danym etapie zamodelowanego w SEOD procesu biznesowego lub w ramach obsługi sprawy zadekretowanej lub utworzonej ręcznie (ad hoc) w SEOD.  System musi umożliwiać tworzenie i zlecanie różnego rodzaju zadań systemowych użytkownikom: zapytanie, zgłoszenie, spotkanie, kopia </w:t>
            </w:r>
            <w:proofErr w:type="spellStart"/>
            <w:r w:rsidRPr="00735AAD">
              <w:rPr>
                <w:rFonts w:ascii="Times New Roman" w:hAnsi="Times New Roman" w:cs="Times New Roman"/>
              </w:rPr>
              <w:t>dw</w:t>
            </w:r>
            <w:proofErr w:type="spellEnd"/>
            <w:r w:rsidRPr="00735AAD">
              <w:rPr>
                <w:rFonts w:ascii="Times New Roman" w:hAnsi="Times New Roman" w:cs="Times New Roman"/>
              </w:rPr>
              <w:t xml:space="preserve">, powiadomienie, przypomnienie, realizacja konkretnego zadania itp. </w:t>
            </w:r>
          </w:p>
          <w:p w14:paraId="7D9D8BB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Musi być możliwość zlecania zadań użytkownikom, na danym etapie obsługi sprawy, niezależnie od zamodelowanego procesu biznesowego – tak aby nie wpływało to na dalszy ciąg obsługi procesu biznesowego.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2006406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2647218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4E8EFF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275E5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A5BB72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Słownik typów zadań systemowych musi być definiowalny przez administratorów systemu.</w:t>
            </w:r>
          </w:p>
        </w:tc>
        <w:tc>
          <w:tcPr>
            <w:tcW w:w="1246" w:type="dxa"/>
            <w:tcBorders>
              <w:top w:val="single" w:sz="4" w:space="0" w:color="000000"/>
              <w:left w:val="single" w:sz="4" w:space="0" w:color="000000"/>
              <w:bottom w:val="single" w:sz="4" w:space="0" w:color="000000"/>
              <w:right w:val="single" w:sz="4" w:space="0" w:color="000000"/>
            </w:tcBorders>
            <w:vAlign w:val="center"/>
          </w:tcPr>
          <w:p w14:paraId="2B8D404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3894097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C817A6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49B0D7"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111FC1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umożliwić uruchomienie procesu biznesowego w obrębie rejestrowanego zadania systemowego.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6A013CA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100879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2914CD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41E58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10EA47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definiowanie terminów wykonania zadań.</w:t>
            </w:r>
          </w:p>
        </w:tc>
        <w:tc>
          <w:tcPr>
            <w:tcW w:w="1246" w:type="dxa"/>
            <w:tcBorders>
              <w:top w:val="single" w:sz="4" w:space="0" w:color="000000"/>
              <w:left w:val="single" w:sz="4" w:space="0" w:color="000000"/>
              <w:bottom w:val="single" w:sz="4" w:space="0" w:color="000000"/>
              <w:right w:val="single" w:sz="4" w:space="0" w:color="000000"/>
            </w:tcBorders>
            <w:vAlign w:val="center"/>
          </w:tcPr>
          <w:p w14:paraId="09C9175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5877004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C5C26E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B3D544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AD6296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automatycznie podpowiadać czas na obsługę każdego zadania przez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24FEC1C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6251598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403CFA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64DA703"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0D0D4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zliczać czas wykonania poszczególnych zadań przez danego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1BC3724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0775221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5E961E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1422CE9"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2C1A80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 SEOD musi istnieć możliwość generowania raportów z czasów wykonania oraz przepływów zadań dla użytkowników, jednostek organizacyjnych, zespołów.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4A5910E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0243743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125C1E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55CBBE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1A215A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umożliwić dołączenie plików/załączników do tworzonego zadania systemowego.</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4225046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2290138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B0FCB9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08B7C0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220ECB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Zarządzanie uprawnieniami do zadania systemowego.</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0426AEE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2335429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3F0387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03837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9D6DA2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Każdy użytkownik musi mieć dostępny rejestr zadań skierowanych do niego z możliwością wyszukiwania zadań w obrębie tego rejestru po określonych parametrach np. rodzajach spraw, których dotyczą zadania, etapach procesu biznesowego na których znajdują się zadania, przedziałach czasowych itp.</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127CAC7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317326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568A1B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1B285F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112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8CA4E0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grupowanie zadań wg. danych zdeklarowanych w rejestrze.</w:t>
            </w:r>
          </w:p>
        </w:tc>
        <w:tc>
          <w:tcPr>
            <w:tcW w:w="1246" w:type="dxa"/>
            <w:tcBorders>
              <w:top w:val="single" w:sz="4" w:space="0" w:color="000000"/>
              <w:left w:val="single" w:sz="4" w:space="0" w:color="000000"/>
              <w:bottom w:val="single" w:sz="4" w:space="0" w:color="000000"/>
              <w:right w:val="single" w:sz="4" w:space="0" w:color="000000"/>
            </w:tcBorders>
            <w:vAlign w:val="center"/>
          </w:tcPr>
          <w:p w14:paraId="0420B26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7978196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F1BF7E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A11895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DCF3CC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Zadania w rejestrze muszą się automatycznie filtrować według terminu wymagalności, w pierwszej kolejności muszą być wyświetlane zadania przeterminowane, w kolejnej zadania z kończącym się terminem realizacji, zadania z dłuższym terminem realizacji i na końcu zadania, które nie mają zdefiniowanego terminu realizacji. System musi w rejestrze zadań monitować zadania przeterminowane i zadania z kończącym się terminem realizacji i graficznie odróżniać je od pozostałych zadań.</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325C6F0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2624274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D964D3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F01E74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13706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zdefiniowania podziału na zadania do wykonania i wykonane.</w:t>
            </w:r>
          </w:p>
        </w:tc>
        <w:tc>
          <w:tcPr>
            <w:tcW w:w="1246" w:type="dxa"/>
            <w:tcBorders>
              <w:top w:val="single" w:sz="4" w:space="0" w:color="000000"/>
              <w:left w:val="single" w:sz="4" w:space="0" w:color="000000"/>
              <w:bottom w:val="single" w:sz="4" w:space="0" w:color="000000"/>
              <w:right w:val="single" w:sz="4" w:space="0" w:color="000000"/>
            </w:tcBorders>
            <w:vAlign w:val="center"/>
          </w:tcPr>
          <w:p w14:paraId="1FCB194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9702938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31EFFC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A1CA081"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463BD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grupowe zamykanie zadań np. akceptację kilkunastu lub kilkudziesięciu faktur w jednej operacji/jednocześnie.</w:t>
            </w:r>
          </w:p>
        </w:tc>
        <w:tc>
          <w:tcPr>
            <w:tcW w:w="1246" w:type="dxa"/>
            <w:tcBorders>
              <w:top w:val="single" w:sz="4" w:space="0" w:color="000000"/>
              <w:left w:val="single" w:sz="4" w:space="0" w:color="000000"/>
              <w:bottom w:val="single" w:sz="4" w:space="0" w:color="000000"/>
              <w:right w:val="single" w:sz="4" w:space="0" w:color="000000"/>
            </w:tcBorders>
            <w:vAlign w:val="center"/>
          </w:tcPr>
          <w:p w14:paraId="3C71C1A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6694850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CB9D0E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46720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490FAA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Musi być możliwość grupowego zamykania zadań z określeniem podwójnego trybu autoryzacji takiej operacji.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38ED253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6661451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585B0F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F8FF58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0CBEE9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Musi istnieć możliwość wyświetlania zadań przeterminowanych wraz z informacją osobową, kto nie zrealizował zadań w terminie.</w:t>
            </w:r>
          </w:p>
        </w:tc>
        <w:tc>
          <w:tcPr>
            <w:tcW w:w="1246" w:type="dxa"/>
            <w:tcBorders>
              <w:top w:val="single" w:sz="4" w:space="0" w:color="000000"/>
              <w:left w:val="single" w:sz="4" w:space="0" w:color="000000"/>
              <w:bottom w:val="single" w:sz="4" w:space="0" w:color="000000"/>
              <w:right w:val="single" w:sz="4" w:space="0" w:color="000000"/>
            </w:tcBorders>
            <w:vAlign w:val="center"/>
          </w:tcPr>
          <w:p w14:paraId="3A8C5AD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8789761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EAACCE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4E3AD4E"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D7C698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Generowanie alertów związanych z przekroczeniem czasu wykonania zadania w postaci wiadomości e-mail do wskazanych użytkowników.</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78E9DC0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832846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46AB52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983F4D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655A38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Każde zadanie musi posiadać podstawowe metadane związane z procesem (nazwa obsługiwanej sprawy w procesie, numer, daty).</w:t>
            </w:r>
          </w:p>
        </w:tc>
        <w:tc>
          <w:tcPr>
            <w:tcW w:w="1246" w:type="dxa"/>
            <w:tcBorders>
              <w:top w:val="single" w:sz="4" w:space="0" w:color="000000"/>
              <w:left w:val="single" w:sz="4" w:space="0" w:color="000000"/>
              <w:bottom w:val="single" w:sz="4" w:space="0" w:color="000000"/>
              <w:right w:val="single" w:sz="4" w:space="0" w:color="000000"/>
            </w:tcBorders>
            <w:vAlign w:val="center"/>
          </w:tcPr>
          <w:p w14:paraId="6E6FDC7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3191386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EAF96B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B54C4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23CEE5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Zadanie systemowe musi posiadać graficzny znacznik informujący o terminie jego realizacji w ramach danego dokumentu.</w:t>
            </w:r>
          </w:p>
        </w:tc>
        <w:tc>
          <w:tcPr>
            <w:tcW w:w="1246" w:type="dxa"/>
            <w:tcBorders>
              <w:top w:val="single" w:sz="4" w:space="0" w:color="000000"/>
              <w:left w:val="single" w:sz="4" w:space="0" w:color="000000"/>
              <w:bottom w:val="single" w:sz="4" w:space="0" w:color="000000"/>
              <w:right w:val="single" w:sz="4" w:space="0" w:color="000000"/>
            </w:tcBorders>
            <w:vAlign w:val="center"/>
          </w:tcPr>
          <w:p w14:paraId="2690DE5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5643102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B6EF6F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1369B4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6F03C6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definiowania danych wyświetlanych w obrębie zadania.</w:t>
            </w:r>
          </w:p>
        </w:tc>
        <w:tc>
          <w:tcPr>
            <w:tcW w:w="1246" w:type="dxa"/>
            <w:tcBorders>
              <w:top w:val="single" w:sz="4" w:space="0" w:color="000000"/>
              <w:left w:val="single" w:sz="4" w:space="0" w:color="000000"/>
              <w:bottom w:val="single" w:sz="4" w:space="0" w:color="000000"/>
              <w:right w:val="single" w:sz="4" w:space="0" w:color="000000"/>
            </w:tcBorders>
            <w:vAlign w:val="center"/>
          </w:tcPr>
          <w:p w14:paraId="394AF39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6458729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C9B8A8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B04394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16BF8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wykonywania akcji procesowej bez konieczności otwierania zadania – czyli np. zamknięcie zadania z poziomu listy zadań do wykonania, bez konieczności wchodzenia w daną sprawę.</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7FBD4F6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0279162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CFB0CA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61DC60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F43508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przejścia z zadania głównego do podzadań.</w:t>
            </w:r>
          </w:p>
        </w:tc>
        <w:tc>
          <w:tcPr>
            <w:tcW w:w="1246" w:type="dxa"/>
            <w:tcBorders>
              <w:top w:val="single" w:sz="4" w:space="0" w:color="000000"/>
              <w:left w:val="single" w:sz="4" w:space="0" w:color="000000"/>
              <w:bottom w:val="single" w:sz="4" w:space="0" w:color="000000"/>
              <w:right w:val="single" w:sz="4" w:space="0" w:color="000000"/>
            </w:tcBorders>
            <w:vAlign w:val="center"/>
          </w:tcPr>
          <w:p w14:paraId="24758EF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6453958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E2325C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621117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A9232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zlecania konsultacji (zwracania się z prośbą o opinię) w obrębie otrzymanego zadania.</w:t>
            </w:r>
          </w:p>
        </w:tc>
        <w:tc>
          <w:tcPr>
            <w:tcW w:w="1246" w:type="dxa"/>
            <w:tcBorders>
              <w:top w:val="single" w:sz="4" w:space="0" w:color="000000"/>
              <w:left w:val="single" w:sz="4" w:space="0" w:color="000000"/>
              <w:bottom w:val="single" w:sz="4" w:space="0" w:color="000000"/>
              <w:right w:val="single" w:sz="4" w:space="0" w:color="000000"/>
            </w:tcBorders>
            <w:vAlign w:val="center"/>
          </w:tcPr>
          <w:p w14:paraId="6CB59BB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5364303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8CEE85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56C1D2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FA82CC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Konsultacja musi pozwalać na przekazanie dostępu do sprawy oraz przekazanie treści do wybranego użytkownika lub grupy użytkowników.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01CB8C3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6955941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0F3201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4B4C4C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5ECD47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rejestrację konsultacji oraz informacji z nimi związanych w obrębie zadania oraz teczki sprawy.</w:t>
            </w:r>
          </w:p>
        </w:tc>
        <w:tc>
          <w:tcPr>
            <w:tcW w:w="1246" w:type="dxa"/>
            <w:tcBorders>
              <w:top w:val="single" w:sz="4" w:space="0" w:color="000000"/>
              <w:left w:val="single" w:sz="4" w:space="0" w:color="000000"/>
              <w:bottom w:val="single" w:sz="4" w:space="0" w:color="000000"/>
              <w:right w:val="single" w:sz="4" w:space="0" w:color="000000"/>
            </w:tcBorders>
            <w:vAlign w:val="center"/>
          </w:tcPr>
          <w:p w14:paraId="39A097F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6731970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24A63D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A2417F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B8E66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zbiorowego podejmowanie zadań.</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216BDEA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8295744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0AE94D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E53CD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5D03F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zbiorowej dekretacji i akceptacji zadań.</w:t>
            </w:r>
          </w:p>
        </w:tc>
        <w:tc>
          <w:tcPr>
            <w:tcW w:w="1246" w:type="dxa"/>
            <w:tcBorders>
              <w:top w:val="single" w:sz="4" w:space="0" w:color="000000"/>
              <w:left w:val="single" w:sz="4" w:space="0" w:color="000000"/>
              <w:bottom w:val="single" w:sz="4" w:space="0" w:color="000000"/>
              <w:right w:val="single" w:sz="4" w:space="0" w:color="000000"/>
            </w:tcBorders>
            <w:vAlign w:val="center"/>
          </w:tcPr>
          <w:p w14:paraId="166DE31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657148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8EBB2F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490FCF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946133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zlecania wykonania zadań innym użytkownikom systemu.</w:t>
            </w:r>
          </w:p>
        </w:tc>
        <w:tc>
          <w:tcPr>
            <w:tcW w:w="1246" w:type="dxa"/>
            <w:tcBorders>
              <w:top w:val="single" w:sz="4" w:space="0" w:color="000000"/>
              <w:left w:val="single" w:sz="4" w:space="0" w:color="000000"/>
              <w:bottom w:val="single" w:sz="4" w:space="0" w:color="000000"/>
              <w:right w:val="single" w:sz="4" w:space="0" w:color="000000"/>
            </w:tcBorders>
            <w:vAlign w:val="center"/>
          </w:tcPr>
          <w:p w14:paraId="305BB2E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1681245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9BE555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53DA68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29E84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zmiany wykonawcy zadania na danym etapie procesu biznesowego bez zmiany ścieżki procesu.</w:t>
            </w:r>
          </w:p>
        </w:tc>
        <w:tc>
          <w:tcPr>
            <w:tcW w:w="1246" w:type="dxa"/>
            <w:tcBorders>
              <w:top w:val="single" w:sz="4" w:space="0" w:color="000000"/>
              <w:left w:val="single" w:sz="4" w:space="0" w:color="000000"/>
              <w:bottom w:val="single" w:sz="4" w:space="0" w:color="000000"/>
              <w:right w:val="single" w:sz="4" w:space="0" w:color="000000"/>
            </w:tcBorders>
            <w:vAlign w:val="center"/>
          </w:tcPr>
          <w:p w14:paraId="57C19D5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0569283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55E025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5DCEE07"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A4735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przełożenia terminu wykonania zadania.</w:t>
            </w:r>
          </w:p>
        </w:tc>
        <w:tc>
          <w:tcPr>
            <w:tcW w:w="1246" w:type="dxa"/>
            <w:tcBorders>
              <w:top w:val="single" w:sz="4" w:space="0" w:color="000000"/>
              <w:left w:val="single" w:sz="4" w:space="0" w:color="000000"/>
              <w:bottom w:val="single" w:sz="4" w:space="0" w:color="000000"/>
              <w:right w:val="single" w:sz="4" w:space="0" w:color="000000"/>
            </w:tcBorders>
            <w:vAlign w:val="center"/>
          </w:tcPr>
          <w:p w14:paraId="1AE885B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9039234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BA75D1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28D778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30979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Podgląd zadań przez administratora, które dany użytkownik aktualnie posiada do wykonania.</w:t>
            </w:r>
          </w:p>
        </w:tc>
        <w:tc>
          <w:tcPr>
            <w:tcW w:w="1246" w:type="dxa"/>
            <w:tcBorders>
              <w:top w:val="single" w:sz="4" w:space="0" w:color="000000"/>
              <w:left w:val="single" w:sz="4" w:space="0" w:color="000000"/>
              <w:bottom w:val="single" w:sz="4" w:space="0" w:color="000000"/>
              <w:right w:val="single" w:sz="4" w:space="0" w:color="000000"/>
            </w:tcBorders>
            <w:vAlign w:val="center"/>
          </w:tcPr>
          <w:p w14:paraId="2B356D1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5956330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64E98E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AAB1E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5783C3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podglądu zadań przeterminowanych swoich podwładnych przez przełożonego.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40AA0A0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2083039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6030142"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204D069A"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Obsługa skanerów zintegrowanych z SEOD</w:t>
            </w:r>
          </w:p>
        </w:tc>
      </w:tr>
      <w:tr w:rsidR="00735AAD" w:rsidRPr="00735AAD" w14:paraId="1444EC0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542D7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461556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definiowania i równoległej obsługi wielu punktów skanujących w SEOD.</w:t>
            </w:r>
          </w:p>
        </w:tc>
        <w:tc>
          <w:tcPr>
            <w:tcW w:w="1246" w:type="dxa"/>
            <w:tcBorders>
              <w:top w:val="single" w:sz="4" w:space="0" w:color="000000"/>
              <w:left w:val="single" w:sz="4" w:space="0" w:color="000000"/>
              <w:bottom w:val="single" w:sz="4" w:space="0" w:color="000000"/>
              <w:right w:val="single" w:sz="4" w:space="0" w:color="000000"/>
            </w:tcBorders>
            <w:vAlign w:val="center"/>
          </w:tcPr>
          <w:p w14:paraId="6515E6D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0297395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D42546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3202F19"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4BBA86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zarządzania uprawnieniami dostępowymi do danego punktu skanującego dla wskazanych użytkowników.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5E38347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4968165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D44226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4AC1D8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9F67DE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Musi istnieć możliwość podpięcia wielu skanerów do jednego punktu skanującego.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4049761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2974508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FDD612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9E89F4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C33938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Obsługa łączenia dokumentów w paczki w obrębie punktu skanującego (system na podstawie plików przesłanych ze skanera wraz z kodem kreskowym tworzy </w:t>
            </w:r>
            <w:r w:rsidRPr="00735AAD">
              <w:rPr>
                <w:rFonts w:ascii="Times New Roman" w:hAnsi="Times New Roman" w:cs="Times New Roman"/>
              </w:rPr>
              <w:lastRenderedPageBreak/>
              <w:t>jeden plik z wielu przesłanych plików zawierających pojedyncze strony).</w:t>
            </w:r>
          </w:p>
        </w:tc>
        <w:tc>
          <w:tcPr>
            <w:tcW w:w="1246" w:type="dxa"/>
            <w:tcBorders>
              <w:top w:val="single" w:sz="4" w:space="0" w:color="000000"/>
              <w:left w:val="single" w:sz="4" w:space="0" w:color="000000"/>
              <w:bottom w:val="single" w:sz="4" w:space="0" w:color="000000"/>
              <w:right w:val="single" w:sz="4" w:space="0" w:color="000000"/>
            </w:tcBorders>
            <w:vAlign w:val="center"/>
          </w:tcPr>
          <w:p w14:paraId="31AE897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9638057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D2822E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E48F0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138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4FB71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Podgląd skanowanych dokumentów oraz tworzenie z nich spraw w SEOD w oparciu o zdefiniowane formularze.</w:t>
            </w:r>
          </w:p>
        </w:tc>
        <w:tc>
          <w:tcPr>
            <w:tcW w:w="1246" w:type="dxa"/>
            <w:tcBorders>
              <w:top w:val="single" w:sz="4" w:space="0" w:color="000000"/>
              <w:left w:val="single" w:sz="4" w:space="0" w:color="000000"/>
              <w:bottom w:val="single" w:sz="4" w:space="0" w:color="000000"/>
              <w:right w:val="single" w:sz="4" w:space="0" w:color="000000"/>
            </w:tcBorders>
            <w:vAlign w:val="center"/>
          </w:tcPr>
          <w:p w14:paraId="262ED18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4155910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A95EFD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7CF8DA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079E6D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automatyczne pobieranie skanowanych obrazów do repozytorium.</w:t>
            </w:r>
          </w:p>
        </w:tc>
        <w:tc>
          <w:tcPr>
            <w:tcW w:w="1246" w:type="dxa"/>
            <w:tcBorders>
              <w:top w:val="single" w:sz="4" w:space="0" w:color="000000"/>
              <w:left w:val="single" w:sz="4" w:space="0" w:color="000000"/>
              <w:bottom w:val="single" w:sz="4" w:space="0" w:color="000000"/>
              <w:right w:val="single" w:sz="4" w:space="0" w:color="000000"/>
            </w:tcBorders>
            <w:vAlign w:val="center"/>
          </w:tcPr>
          <w:p w14:paraId="4F9A395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5651697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237BDA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51F821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4CDBA6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automatyczne zakładanie spraw na podstawie kodu kreskowego skanowanego dokumentu oraz konfiguracji zdefiniowanej w SEOD potrzebnej do uruchomienia procesu biznesowego.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13745D9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2302757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E55A18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F7482C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3CA83C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odrzucanie dokumentów z poziomu punktu skanującego.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5B2E67E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7542782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FBB668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62274E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2EAEED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generowanie kodów kreskowych w dowolnym standardzie zdefiniowanym przez Zamawiającego na etapie analizy przedwdrożeniowej do formatu JPG lub PDF potrzebnych do obsługi skanera.</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09D8DDA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0263128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AD8B63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359D96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F5F2B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wydruk kodów kreskowych z SEOD na drukarkach laserowych posiadanych przez Zamawiającego.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2E6D86C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7845292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EA382F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6D35D1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5A6C73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Automatyczne odbieranie ze skanera dokumentów wielostronicowych z rozdzielaniem/separacją dokumentów według naklejonych kodów kreskowych z użyciem skanerów nieposiadających funkcji rozpoznawania kodów kreskowych.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3A34977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7426477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5F5595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1E3927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277F36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Automatyczne odbieranie dokumentów ze skanerów sieciowych zapisujących wyniki w folderze sieciowym.</w:t>
            </w:r>
          </w:p>
        </w:tc>
        <w:tc>
          <w:tcPr>
            <w:tcW w:w="1246" w:type="dxa"/>
            <w:tcBorders>
              <w:top w:val="single" w:sz="4" w:space="0" w:color="000000"/>
              <w:left w:val="single" w:sz="4" w:space="0" w:color="000000"/>
              <w:bottom w:val="single" w:sz="4" w:space="0" w:color="000000"/>
              <w:right w:val="single" w:sz="4" w:space="0" w:color="000000"/>
            </w:tcBorders>
            <w:vAlign w:val="center"/>
          </w:tcPr>
          <w:p w14:paraId="4EC13AB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0608688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4134DA0"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10714290"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Obsługa zastępstw SEOD</w:t>
            </w:r>
          </w:p>
        </w:tc>
      </w:tr>
      <w:tr w:rsidR="00735AAD" w:rsidRPr="00735AAD" w14:paraId="390A36E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395DF9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7B0B13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dawać możliwość definiowania zastępstw dla użytkowników.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108AD49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6591410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C39688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E9803B"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3E92D6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definiowanie zastępstw na wybrany interwał czasowy.</w:t>
            </w:r>
          </w:p>
        </w:tc>
        <w:tc>
          <w:tcPr>
            <w:tcW w:w="1246" w:type="dxa"/>
            <w:tcBorders>
              <w:top w:val="single" w:sz="4" w:space="0" w:color="000000"/>
              <w:left w:val="single" w:sz="4" w:space="0" w:color="000000"/>
              <w:bottom w:val="single" w:sz="4" w:space="0" w:color="000000"/>
              <w:right w:val="single" w:sz="4" w:space="0" w:color="000000"/>
            </w:tcBorders>
            <w:vAlign w:val="center"/>
          </w:tcPr>
          <w:p w14:paraId="137EA2D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8130811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6C8B00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16B976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9CF3A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Automatyczne wyłączanie zdefiniowanego zastępstwa po upływie zdefiniowanego interwału czasowego (bez konieczności ingerencji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3B3C63A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7422574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62FDE6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16B22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DBD23F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System umożliwi wystawianie zastępstw w imieniu innych użytkowników (np. przez administratora systemu).</w:t>
            </w:r>
          </w:p>
        </w:tc>
        <w:tc>
          <w:tcPr>
            <w:tcW w:w="1246" w:type="dxa"/>
            <w:tcBorders>
              <w:top w:val="single" w:sz="4" w:space="0" w:color="000000"/>
              <w:left w:val="single" w:sz="4" w:space="0" w:color="000000"/>
              <w:bottom w:val="single" w:sz="4" w:space="0" w:color="000000"/>
              <w:right w:val="single" w:sz="4" w:space="0" w:color="000000"/>
            </w:tcBorders>
            <w:vAlign w:val="center"/>
          </w:tcPr>
          <w:p w14:paraId="5C196B2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2350531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7C8C61B"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0572FFB7"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Struktura organizacyjna</w:t>
            </w:r>
          </w:p>
        </w:tc>
      </w:tr>
      <w:tr w:rsidR="00735AAD" w:rsidRPr="00735AAD" w14:paraId="492F613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C64BD3E"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150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BCDFA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 SEOD musi istnieć możliwość odwzorowania jednostek i struktury organizacyjnej  funkcjonującej w danej organizacji.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2BDC9AE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1978103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936CC0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9B157E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151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385A8A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Definiowanie jednostek organizacyjnych oraz wzajemnych hierarchicznych powiązań pomiędzy nimi w postaci struktury drzewiastej.</w:t>
            </w:r>
          </w:p>
        </w:tc>
        <w:tc>
          <w:tcPr>
            <w:tcW w:w="1246" w:type="dxa"/>
            <w:tcBorders>
              <w:top w:val="single" w:sz="4" w:space="0" w:color="000000"/>
              <w:left w:val="single" w:sz="4" w:space="0" w:color="000000"/>
              <w:bottom w:val="single" w:sz="4" w:space="0" w:color="000000"/>
              <w:right w:val="single" w:sz="4" w:space="0" w:color="000000"/>
            </w:tcBorders>
            <w:vAlign w:val="center"/>
          </w:tcPr>
          <w:p w14:paraId="19A4254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0783636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F2BA27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63D8A4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152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1EE6A9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Określanie przynależności pracowników do jednostki organizacyjnej.</w:t>
            </w:r>
          </w:p>
        </w:tc>
        <w:tc>
          <w:tcPr>
            <w:tcW w:w="1246" w:type="dxa"/>
            <w:tcBorders>
              <w:top w:val="single" w:sz="4" w:space="0" w:color="000000"/>
              <w:left w:val="single" w:sz="4" w:space="0" w:color="000000"/>
              <w:bottom w:val="single" w:sz="4" w:space="0" w:color="000000"/>
              <w:right w:val="single" w:sz="4" w:space="0" w:color="000000"/>
            </w:tcBorders>
            <w:vAlign w:val="center"/>
          </w:tcPr>
          <w:p w14:paraId="027BB71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7899323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E0BCE2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8051A3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153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6CB45B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Przypisywanie pracowników do jednostki głównej i jednostek dodatkowych.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1F3E248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9287886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F19D15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5F0346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154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B1696B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Przypisywanie kodów oraz MPK-ów do poszczególnych jednostek organizacyjnych.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6CA1327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7942472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994874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814689"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155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67BAB5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Przypisywanie osób zarządzających daną jednostką organizacyjną.</w:t>
            </w:r>
          </w:p>
        </w:tc>
        <w:tc>
          <w:tcPr>
            <w:tcW w:w="1246" w:type="dxa"/>
            <w:tcBorders>
              <w:top w:val="single" w:sz="4" w:space="0" w:color="000000"/>
              <w:left w:val="single" w:sz="4" w:space="0" w:color="000000"/>
              <w:bottom w:val="single" w:sz="4" w:space="0" w:color="000000"/>
              <w:right w:val="single" w:sz="4" w:space="0" w:color="000000"/>
            </w:tcBorders>
            <w:vAlign w:val="center"/>
          </w:tcPr>
          <w:p w14:paraId="716923E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6647894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2B62AE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216879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156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5C425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Ukrywanie jednostek organizacyjnych.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2F69A39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5457349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86CAA5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199BA17"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157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184BEB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automatycznego pobierania i aktualizowania struktury organizacyjnej z systemu zewnętrznego np. ERP.</w:t>
            </w:r>
          </w:p>
        </w:tc>
        <w:tc>
          <w:tcPr>
            <w:tcW w:w="1246" w:type="dxa"/>
            <w:tcBorders>
              <w:top w:val="single" w:sz="4" w:space="0" w:color="000000"/>
              <w:left w:val="single" w:sz="4" w:space="0" w:color="000000"/>
              <w:bottom w:val="single" w:sz="4" w:space="0" w:color="000000"/>
              <w:right w:val="single" w:sz="4" w:space="0" w:color="000000"/>
            </w:tcBorders>
            <w:vAlign w:val="center"/>
          </w:tcPr>
          <w:p w14:paraId="7C95C32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0475948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716AACB"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1BD009DA" w14:textId="77777777" w:rsidR="00735AAD" w:rsidRPr="00735AAD" w:rsidRDefault="00735AAD" w:rsidP="00735AAD">
            <w:pPr>
              <w:pStyle w:val="Bezodstpw"/>
              <w:jc w:val="center"/>
              <w:rPr>
                <w:rFonts w:ascii="Times New Roman" w:hAnsi="Times New Roman" w:cs="Times New Roman"/>
                <w:b/>
              </w:rPr>
            </w:pPr>
            <w:r w:rsidRPr="00735AAD">
              <w:rPr>
                <w:rFonts w:ascii="Times New Roman" w:hAnsi="Times New Roman" w:cs="Times New Roman"/>
                <w:b/>
              </w:rPr>
              <w:t>Edycja on-line dokumentów</w:t>
            </w:r>
          </w:p>
        </w:tc>
      </w:tr>
      <w:tr w:rsidR="00735AAD" w:rsidRPr="00735AAD" w14:paraId="76DA0E2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BA2E2DE"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158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2E6568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możliwość edycji treści załączników „online”, tj. bezpośrednio w oknie przeglądarki, bez konieczności pobierania załączników na dysk lokalny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2992913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1901840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0EC844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65E9F5A"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159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1412C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Funkcja edycji online musi pozwalać na wykonywanie wszystkich typowych dla edytorów tekstu operacji edycyjnych dotyczących formatowania tekstu, pracy z tabelami, obrazami, spisami treści, stopkami/nagłówkami, grafikami.</w:t>
            </w:r>
          </w:p>
        </w:tc>
        <w:tc>
          <w:tcPr>
            <w:tcW w:w="1246" w:type="dxa"/>
            <w:tcBorders>
              <w:top w:val="single" w:sz="4" w:space="0" w:color="000000"/>
              <w:left w:val="single" w:sz="4" w:space="0" w:color="000000"/>
              <w:bottom w:val="single" w:sz="4" w:space="0" w:color="000000"/>
              <w:right w:val="single" w:sz="4" w:space="0" w:color="000000"/>
            </w:tcBorders>
            <w:vAlign w:val="center"/>
          </w:tcPr>
          <w:p w14:paraId="7821BA1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3833178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FB698E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C9B911A"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160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1A6F3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Funkcja edycji online musi pozwalać pracować na plikach co najmniej w </w:t>
            </w:r>
            <w:r w:rsidRPr="00735AAD">
              <w:rPr>
                <w:rFonts w:ascii="Times New Roman" w:hAnsi="Times New Roman" w:cs="Times New Roman"/>
              </w:rPr>
              <w:lastRenderedPageBreak/>
              <w:t>formacie programu Word.</w:t>
            </w:r>
          </w:p>
        </w:tc>
        <w:tc>
          <w:tcPr>
            <w:tcW w:w="1246" w:type="dxa"/>
            <w:tcBorders>
              <w:top w:val="single" w:sz="4" w:space="0" w:color="000000"/>
              <w:left w:val="single" w:sz="4" w:space="0" w:color="000000"/>
              <w:bottom w:val="single" w:sz="4" w:space="0" w:color="000000"/>
              <w:right w:val="single" w:sz="4" w:space="0" w:color="000000"/>
            </w:tcBorders>
            <w:vAlign w:val="center"/>
          </w:tcPr>
          <w:p w14:paraId="1C29192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0820868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1BF9B4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1598EF"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lastRenderedPageBreak/>
              <w:t>161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698E4C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Korzystanie z funkcji edycji online nie może nakładać na zamawiającego żadnych dodatkowych kosztów licencyjnych nie ujętych w ofercie w całym okresie korzystania z SEOD.</w:t>
            </w:r>
          </w:p>
        </w:tc>
        <w:tc>
          <w:tcPr>
            <w:tcW w:w="1246" w:type="dxa"/>
            <w:tcBorders>
              <w:top w:val="single" w:sz="4" w:space="0" w:color="000000"/>
              <w:left w:val="single" w:sz="4" w:space="0" w:color="000000"/>
              <w:bottom w:val="single" w:sz="4" w:space="0" w:color="000000"/>
              <w:right w:val="single" w:sz="4" w:space="0" w:color="000000"/>
            </w:tcBorders>
            <w:vAlign w:val="center"/>
          </w:tcPr>
          <w:p w14:paraId="028CE1D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0797392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639B57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EB53E9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162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A2F66E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Funkcja edycji online umożliwia równoległą, jednoczesną edycję tego samego załącznika przez wielu zalogowanych użytkowników SEOD.</w:t>
            </w:r>
          </w:p>
        </w:tc>
        <w:tc>
          <w:tcPr>
            <w:tcW w:w="1246" w:type="dxa"/>
            <w:tcBorders>
              <w:top w:val="single" w:sz="4" w:space="0" w:color="000000"/>
              <w:left w:val="single" w:sz="4" w:space="0" w:color="000000"/>
              <w:bottom w:val="single" w:sz="4" w:space="0" w:color="000000"/>
              <w:right w:val="single" w:sz="4" w:space="0" w:color="000000"/>
            </w:tcBorders>
            <w:vAlign w:val="center"/>
          </w:tcPr>
          <w:p w14:paraId="378B4DF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3424426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A048C4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F4A3A7"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163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A37015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zapamiętuje historię wersji treści dokumentu i zmiany w kolejnych sesjach edycji dokumentu z dokładnością do użytkownika dokonującego edycji i znacznika czasu.</w:t>
            </w:r>
          </w:p>
        </w:tc>
        <w:tc>
          <w:tcPr>
            <w:tcW w:w="1246" w:type="dxa"/>
            <w:tcBorders>
              <w:top w:val="single" w:sz="4" w:space="0" w:color="000000"/>
              <w:left w:val="single" w:sz="4" w:space="0" w:color="000000"/>
              <w:bottom w:val="single" w:sz="4" w:space="0" w:color="000000"/>
              <w:right w:val="single" w:sz="4" w:space="0" w:color="000000"/>
            </w:tcBorders>
            <w:vAlign w:val="center"/>
          </w:tcPr>
          <w:p w14:paraId="1B3ACE2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309289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CD9C66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B87851E"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164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0AC89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umożliwia przywrócenie wcześniejszej wersji dokumentu jako bieżącej.</w:t>
            </w:r>
          </w:p>
        </w:tc>
        <w:tc>
          <w:tcPr>
            <w:tcW w:w="1246" w:type="dxa"/>
            <w:tcBorders>
              <w:top w:val="single" w:sz="4" w:space="0" w:color="000000"/>
              <w:left w:val="single" w:sz="4" w:space="0" w:color="000000"/>
              <w:bottom w:val="single" w:sz="4" w:space="0" w:color="000000"/>
              <w:right w:val="single" w:sz="4" w:space="0" w:color="000000"/>
            </w:tcBorders>
            <w:vAlign w:val="center"/>
          </w:tcPr>
          <w:p w14:paraId="2DBED40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050071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59F1A1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99C079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165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1DB5CC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Funkcja edycji online pozwala na używanie w treści dokumentów widocznych dla użytkownika nazw pól z formularzy systemowych w celu tworzenia szablonów wydruku dokumentów. W momencie użycia szablonu odpowiednie znaczniki są zamieniane na wartości odpowiednich pól z formularza systemowego.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278432D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7349439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BB65A7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3B83F0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166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57514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Szablony dokumentów po uzupełnieniu danych pól formularzy mogą być eksportowane do formatu nieedytowalnego (pdf) lub edytowalnego z możliwością dalszej edycji treści.</w:t>
            </w:r>
          </w:p>
        </w:tc>
        <w:tc>
          <w:tcPr>
            <w:tcW w:w="1246" w:type="dxa"/>
            <w:tcBorders>
              <w:top w:val="single" w:sz="4" w:space="0" w:color="000000"/>
              <w:left w:val="single" w:sz="4" w:space="0" w:color="000000"/>
              <w:bottom w:val="single" w:sz="4" w:space="0" w:color="000000"/>
              <w:right w:val="single" w:sz="4" w:space="0" w:color="000000"/>
            </w:tcBorders>
            <w:vAlign w:val="center"/>
          </w:tcPr>
          <w:p w14:paraId="16D6DBA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7734508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2DFEB0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DBA0A5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167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52B3D1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 szablonach dokumentów musi być możliwość osadzania tabel danych jeśli te występują w powiązanych formularzach systemowych.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76D2750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7176571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FE35031"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63474307"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Terminarz spotkań</w:t>
            </w:r>
          </w:p>
        </w:tc>
      </w:tr>
      <w:tr w:rsidR="00735AAD" w:rsidRPr="00735AAD" w14:paraId="3803319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E8840D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168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2B63A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Dodawanie wydarzeń w dedykowanych kalendarzach</w:t>
            </w:r>
            <w:r w:rsidRPr="00735AAD">
              <w:rPr>
                <w:rFonts w:ascii="Times New Roman" w:eastAsia="Times New Roman" w:hAnsi="Times New Roman" w:cs="Times New Roman"/>
                <w:sz w:val="20"/>
                <w:szCs w:val="20"/>
                <w:lang w:eastAsia="pl-PL"/>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479B9DD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1420750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3B59D9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91A087"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169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6C849D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Udostępnianie swojego kalendarza wskazanym użytkownikom i podgląd udostępnionych przez innych kalendarzy.</w:t>
            </w:r>
          </w:p>
        </w:tc>
        <w:tc>
          <w:tcPr>
            <w:tcW w:w="1246" w:type="dxa"/>
            <w:tcBorders>
              <w:top w:val="single" w:sz="4" w:space="0" w:color="000000"/>
              <w:left w:val="single" w:sz="4" w:space="0" w:color="000000"/>
              <w:bottom w:val="single" w:sz="4" w:space="0" w:color="000000"/>
              <w:right w:val="single" w:sz="4" w:space="0" w:color="000000"/>
            </w:tcBorders>
            <w:vAlign w:val="center"/>
          </w:tcPr>
          <w:p w14:paraId="4CC66FA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2906168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720AA5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96AF6AF"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78648C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Proponowanie wydarzeń innym użytkownikom poprzez generowanie zaproszeń.</w:t>
            </w:r>
          </w:p>
        </w:tc>
        <w:tc>
          <w:tcPr>
            <w:tcW w:w="1246" w:type="dxa"/>
            <w:tcBorders>
              <w:top w:val="single" w:sz="4" w:space="0" w:color="000000"/>
              <w:left w:val="single" w:sz="4" w:space="0" w:color="000000"/>
              <w:bottom w:val="single" w:sz="4" w:space="0" w:color="000000"/>
              <w:right w:val="single" w:sz="4" w:space="0" w:color="000000"/>
            </w:tcBorders>
            <w:vAlign w:val="center"/>
          </w:tcPr>
          <w:p w14:paraId="35A3C74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8992174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24047C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B3474C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670923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Musi istnieć możliwość potwierdzania i odrzucania uczestnictwa w spotkaniu przez zaproszonych użytkowników.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37A724E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6708576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70F3EF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0D7EA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BC151D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Informacja o odrzuceniu oraz zatwierdzeniu musi się odkładać w historii spotkania.</w:t>
            </w:r>
          </w:p>
        </w:tc>
        <w:tc>
          <w:tcPr>
            <w:tcW w:w="1246" w:type="dxa"/>
            <w:tcBorders>
              <w:top w:val="single" w:sz="4" w:space="0" w:color="000000"/>
              <w:left w:val="single" w:sz="4" w:space="0" w:color="000000"/>
              <w:bottom w:val="single" w:sz="4" w:space="0" w:color="000000"/>
              <w:right w:val="single" w:sz="4" w:space="0" w:color="000000"/>
            </w:tcBorders>
            <w:vAlign w:val="center"/>
          </w:tcPr>
          <w:p w14:paraId="426E932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1605843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778638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EEF6BBD"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204FB9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Potwierdzone spotkanie musi zostać dodane zaproszonemu użytkownikowi do jego terminarza.</w:t>
            </w:r>
          </w:p>
        </w:tc>
        <w:tc>
          <w:tcPr>
            <w:tcW w:w="1246" w:type="dxa"/>
            <w:tcBorders>
              <w:top w:val="single" w:sz="4" w:space="0" w:color="000000"/>
              <w:left w:val="single" w:sz="4" w:space="0" w:color="000000"/>
              <w:bottom w:val="single" w:sz="4" w:space="0" w:color="000000"/>
              <w:right w:val="single" w:sz="4" w:space="0" w:color="000000"/>
            </w:tcBorders>
            <w:vAlign w:val="center"/>
          </w:tcPr>
          <w:p w14:paraId="64359A9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990981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3FA070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0900A1D"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0E0D7F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Definiowanie wydarzeń prywatnych widocznych tylko dla osoby, która je wprowadza do swojego terminarza, niezależnie od udostępnienia kalendarza innym użytkownikom.</w:t>
            </w:r>
          </w:p>
        </w:tc>
        <w:tc>
          <w:tcPr>
            <w:tcW w:w="1246" w:type="dxa"/>
            <w:tcBorders>
              <w:top w:val="single" w:sz="4" w:space="0" w:color="000000"/>
              <w:left w:val="single" w:sz="4" w:space="0" w:color="000000"/>
              <w:bottom w:val="single" w:sz="4" w:space="0" w:color="000000"/>
              <w:right w:val="single" w:sz="4" w:space="0" w:color="000000"/>
            </w:tcBorders>
            <w:vAlign w:val="center"/>
          </w:tcPr>
          <w:p w14:paraId="1CCA325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4794601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81CACE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EB6B3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7CB2C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Zarzadzanie wyglądem kalendarza (ustawianie kolorów, widoku prezentacji – tygodniowy bez weekendów, tygodniowy z weekendami, dzienny, miesięczny, lista).</w:t>
            </w:r>
          </w:p>
        </w:tc>
        <w:tc>
          <w:tcPr>
            <w:tcW w:w="1246" w:type="dxa"/>
            <w:tcBorders>
              <w:top w:val="single" w:sz="4" w:space="0" w:color="000000"/>
              <w:left w:val="single" w:sz="4" w:space="0" w:color="000000"/>
              <w:bottom w:val="single" w:sz="4" w:space="0" w:color="000000"/>
              <w:right w:val="single" w:sz="4" w:space="0" w:color="000000"/>
            </w:tcBorders>
            <w:vAlign w:val="center"/>
          </w:tcPr>
          <w:p w14:paraId="65E39D7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0991603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8B8BB4C"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2F220F7B"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Rezerwacja zasobów</w:t>
            </w:r>
          </w:p>
        </w:tc>
      </w:tr>
      <w:tr w:rsidR="00735AAD" w:rsidRPr="00735AAD" w14:paraId="027B8AB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1F635BD"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D78796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Definiowanie zasobów w SEOD (np. sala konferencja, samochód, rzutnik).</w:t>
            </w:r>
          </w:p>
        </w:tc>
        <w:tc>
          <w:tcPr>
            <w:tcW w:w="1246" w:type="dxa"/>
            <w:tcBorders>
              <w:top w:val="single" w:sz="4" w:space="0" w:color="000000"/>
              <w:left w:val="single" w:sz="4" w:space="0" w:color="000000"/>
              <w:bottom w:val="single" w:sz="4" w:space="0" w:color="000000"/>
              <w:right w:val="single" w:sz="4" w:space="0" w:color="000000"/>
            </w:tcBorders>
            <w:vAlign w:val="center"/>
          </w:tcPr>
          <w:p w14:paraId="61D6A4C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1956550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F30106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886031F"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832984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 SEOD musi istnieć pole opisowe (tzw. informacja o zasobie) prezentowane podczas rezerwacji.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3808A85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2921187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A36D18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1F28C6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101E3E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 SEOD musi być możliwość przypisywania do danego zasobu oznaczenia kolorystycznego - kolor prezentowany w grafiku rezerwacji podczas rezerwacji oraz po zarezerwowaniu zasobu.</w:t>
            </w:r>
          </w:p>
        </w:tc>
        <w:tc>
          <w:tcPr>
            <w:tcW w:w="1246" w:type="dxa"/>
            <w:tcBorders>
              <w:top w:val="single" w:sz="4" w:space="0" w:color="000000"/>
              <w:left w:val="single" w:sz="4" w:space="0" w:color="000000"/>
              <w:bottom w:val="single" w:sz="4" w:space="0" w:color="000000"/>
              <w:right w:val="single" w:sz="4" w:space="0" w:color="000000"/>
            </w:tcBorders>
            <w:vAlign w:val="center"/>
          </w:tcPr>
          <w:p w14:paraId="008FDDA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5308534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3ED52E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41189B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179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FDD8DC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definiowania użytkowników, którzy mogą rezerwować i zarządzać danym zasobem.</w:t>
            </w:r>
          </w:p>
        </w:tc>
        <w:tc>
          <w:tcPr>
            <w:tcW w:w="1246" w:type="dxa"/>
            <w:tcBorders>
              <w:top w:val="single" w:sz="4" w:space="0" w:color="000000"/>
              <w:left w:val="single" w:sz="4" w:space="0" w:color="000000"/>
              <w:bottom w:val="single" w:sz="4" w:space="0" w:color="000000"/>
              <w:right w:val="single" w:sz="4" w:space="0" w:color="000000"/>
            </w:tcBorders>
            <w:vAlign w:val="center"/>
          </w:tcPr>
          <w:p w14:paraId="7196093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6911035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B7BAC2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2918D5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180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4E7B89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Definiowanie użytkowników, którzy mają podgląd do zasobu oraz jego rezerwacji.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48A05F7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1300174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9C7E18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2873B8A"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181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03F6E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Tworzenie grup zasobów (np. grupa </w:t>
            </w:r>
            <w:proofErr w:type="spellStart"/>
            <w:r w:rsidRPr="00735AAD">
              <w:rPr>
                <w:rFonts w:ascii="Times New Roman" w:hAnsi="Times New Roman" w:cs="Times New Roman"/>
              </w:rPr>
              <w:t>sal</w:t>
            </w:r>
            <w:proofErr w:type="spellEnd"/>
            <w:r w:rsidRPr="00735AAD">
              <w:rPr>
                <w:rFonts w:ascii="Times New Roman" w:hAnsi="Times New Roman" w:cs="Times New Roman"/>
              </w:rPr>
              <w:t xml:space="preserve"> konferencyjnych). W skład każdej grupy będą wchodzić wybrane przez użytkownika zasoby.</w:t>
            </w:r>
          </w:p>
        </w:tc>
        <w:tc>
          <w:tcPr>
            <w:tcW w:w="1246" w:type="dxa"/>
            <w:tcBorders>
              <w:top w:val="single" w:sz="4" w:space="0" w:color="000000"/>
              <w:left w:val="single" w:sz="4" w:space="0" w:color="000000"/>
              <w:bottom w:val="single" w:sz="4" w:space="0" w:color="000000"/>
              <w:right w:val="single" w:sz="4" w:space="0" w:color="000000"/>
            </w:tcBorders>
            <w:vAlign w:val="center"/>
          </w:tcPr>
          <w:p w14:paraId="2823A04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8554064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CC98DC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425262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182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034B18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Wbudowany terminarz prezentujący zarezerwowane zasoby.</w:t>
            </w:r>
          </w:p>
        </w:tc>
        <w:tc>
          <w:tcPr>
            <w:tcW w:w="1246" w:type="dxa"/>
            <w:tcBorders>
              <w:top w:val="single" w:sz="4" w:space="0" w:color="000000"/>
              <w:left w:val="single" w:sz="4" w:space="0" w:color="000000"/>
              <w:bottom w:val="single" w:sz="4" w:space="0" w:color="000000"/>
              <w:right w:val="single" w:sz="4" w:space="0" w:color="000000"/>
            </w:tcBorders>
            <w:vAlign w:val="center"/>
          </w:tcPr>
          <w:p w14:paraId="208A82D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570562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6B37EC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B50DCD0"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lastRenderedPageBreak/>
              <w:t>183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34096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Rezerwacja zasobów bezpośrednio na terminarzu poprzez ustawienie kursora w danym polu godzinowym lub przeciągnięcie kursora w ramach danego dnia po wartościach godzinowych.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0F58A4B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7040200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57C7CB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12AB7F"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184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A4A0AD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Prezentowanie zasobów w widoku dniowym, tygodniowym, tygodniowym bez weekendów, miesięcznym oraz listy na terminarzu. Przenoszenie zasobów pomiędzy terminami przy pomocy funkcji </w:t>
            </w:r>
            <w:proofErr w:type="spellStart"/>
            <w:r w:rsidRPr="00735AAD">
              <w:rPr>
                <w:rFonts w:ascii="Times New Roman" w:hAnsi="Times New Roman" w:cs="Times New Roman"/>
              </w:rPr>
              <w:t>drag&amp;drop</w:t>
            </w:r>
            <w:proofErr w:type="spellEnd"/>
            <w:r w:rsidRPr="00735AAD">
              <w:rPr>
                <w:rFonts w:ascii="Times New Roman" w:hAnsi="Times New Roman" w:cs="Times New Roman"/>
              </w:rPr>
              <w:t xml:space="preserve"> na terminarzu zasobów.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158FB76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8522021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E6D550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3C9EB3F"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185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452BD8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Na terminarzu danego zasobu musi być możliwa inna prezentacja założonej rezerwacji, dla której termin wykorzystania już minął, a inna dla założonej rezerwacji, dla której termin wykorzystania jeszcze nie minął.</w:t>
            </w:r>
          </w:p>
        </w:tc>
        <w:tc>
          <w:tcPr>
            <w:tcW w:w="1246" w:type="dxa"/>
            <w:tcBorders>
              <w:top w:val="single" w:sz="4" w:space="0" w:color="000000"/>
              <w:left w:val="single" w:sz="4" w:space="0" w:color="000000"/>
              <w:bottom w:val="single" w:sz="4" w:space="0" w:color="000000"/>
              <w:right w:val="single" w:sz="4" w:space="0" w:color="000000"/>
            </w:tcBorders>
            <w:vAlign w:val="center"/>
          </w:tcPr>
          <w:p w14:paraId="753CF41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5241871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821346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36491D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186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43BAED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konfigurowanie prezentowanej ilości godzin w dniu na terminarzu zasobów.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40AF176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0311577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E19ECA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CE3AAB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187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519AFE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cykliczną rezerwację zasobów.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557F422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107413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0F491D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3994AC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188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AD70C1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Definiowanie opisu zasobu podczas rezerwacji przy pomocy wbudowanego edytora WYSIWYG.</w:t>
            </w:r>
          </w:p>
        </w:tc>
        <w:tc>
          <w:tcPr>
            <w:tcW w:w="1246" w:type="dxa"/>
            <w:tcBorders>
              <w:top w:val="single" w:sz="4" w:space="0" w:color="000000"/>
              <w:left w:val="single" w:sz="4" w:space="0" w:color="000000"/>
              <w:bottom w:val="single" w:sz="4" w:space="0" w:color="000000"/>
              <w:right w:val="single" w:sz="4" w:space="0" w:color="000000"/>
            </w:tcBorders>
            <w:vAlign w:val="center"/>
          </w:tcPr>
          <w:p w14:paraId="26F786A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9581874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986F0C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18C16F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189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65AA3A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Wskazywanie użytkowników przypisanych do zasobu podczas rezerwacji.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4E4433E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0311545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F64329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8D05C1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6A792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Wysyłanie powiadomień mailowych (automatycznie) do użytkowników przypisanych do zasobu z informacją o dokonanej rezerwacji.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0BB5FAD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0173676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78172D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1F59EB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6D61CA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Wysyłanie powiadomień mailowych (automatycznie) do użytkowników przypisanych do rezerwacji w przypadku, kiedy ta została zmieniona przez twórcę (wraz z informacją o zmianach).</w:t>
            </w:r>
          </w:p>
        </w:tc>
        <w:tc>
          <w:tcPr>
            <w:tcW w:w="1246" w:type="dxa"/>
            <w:tcBorders>
              <w:top w:val="single" w:sz="4" w:space="0" w:color="000000"/>
              <w:left w:val="single" w:sz="4" w:space="0" w:color="000000"/>
              <w:bottom w:val="single" w:sz="4" w:space="0" w:color="000000"/>
              <w:right w:val="single" w:sz="4" w:space="0" w:color="000000"/>
            </w:tcBorders>
            <w:vAlign w:val="center"/>
          </w:tcPr>
          <w:p w14:paraId="3F172F6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4646258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5BF3D5B"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3C201480"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Baza kontaktów i kontrahentów SEOD</w:t>
            </w:r>
          </w:p>
        </w:tc>
      </w:tr>
      <w:tr w:rsidR="00735AAD" w:rsidRPr="00735AAD" w14:paraId="29F060E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4A1912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549FE0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 SEOD musi być możliwość tworzenia rejestru kontaktów (nieposiadających osobowości prawnej).</w:t>
            </w:r>
          </w:p>
        </w:tc>
        <w:tc>
          <w:tcPr>
            <w:tcW w:w="1246" w:type="dxa"/>
            <w:tcBorders>
              <w:top w:val="single" w:sz="4" w:space="0" w:color="000000"/>
              <w:left w:val="single" w:sz="4" w:space="0" w:color="000000"/>
              <w:bottom w:val="single" w:sz="4" w:space="0" w:color="000000"/>
              <w:right w:val="single" w:sz="4" w:space="0" w:color="000000"/>
            </w:tcBorders>
            <w:vAlign w:val="center"/>
          </w:tcPr>
          <w:p w14:paraId="42A408B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0415495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E6EA79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C3404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E850DD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Tworzenie kontaktu musi być również możliwe z poziomu okna korespondencji przychodzącej oraz wychodzącej bez konieczności wychodzenia z formularza rejestracji korespondencji przychodzącej.</w:t>
            </w:r>
          </w:p>
        </w:tc>
        <w:tc>
          <w:tcPr>
            <w:tcW w:w="1246" w:type="dxa"/>
            <w:tcBorders>
              <w:top w:val="single" w:sz="4" w:space="0" w:color="000000"/>
              <w:left w:val="single" w:sz="4" w:space="0" w:color="000000"/>
              <w:bottom w:val="single" w:sz="4" w:space="0" w:color="000000"/>
              <w:right w:val="single" w:sz="4" w:space="0" w:color="000000"/>
            </w:tcBorders>
            <w:vAlign w:val="center"/>
          </w:tcPr>
          <w:p w14:paraId="417130E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1236193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1F742B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61F841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21AA64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Tworzenie rejestru kontrahentów.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336A597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8932395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E212FE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5C70C1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027D59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Przy rejestracji nowego kontaktu lub kontrahenta integracja z bazą TERYT musi na podstawie wprowadzonej nazwy ulicy podpowiadać nazwę miasta, gminy, powiatu, województwa w których występuje dana ulica, a po wybraniu właściwej pozycji automatyczne wprowadzać wszystkie pobrane dane do okna rejestracji nowego kontaktu lub kontrahenta.</w:t>
            </w:r>
          </w:p>
        </w:tc>
        <w:tc>
          <w:tcPr>
            <w:tcW w:w="1246" w:type="dxa"/>
            <w:tcBorders>
              <w:top w:val="single" w:sz="4" w:space="0" w:color="000000"/>
              <w:left w:val="single" w:sz="4" w:space="0" w:color="000000"/>
              <w:bottom w:val="single" w:sz="4" w:space="0" w:color="000000"/>
              <w:right w:val="single" w:sz="4" w:space="0" w:color="000000"/>
            </w:tcBorders>
            <w:vAlign w:val="center"/>
          </w:tcPr>
          <w:p w14:paraId="233A497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4511496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D73F2B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A366F7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5E8F2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Integracja z bazą REGON GUS musi umożliwiać po wpisaniu w oknie rejestracji nowego kontrahenta SEOD jednego z numerów NIP, REGON lub KRS pobranie z bazy REGON GUS danych tego kontrahenta - nazwy, nr NIP, REGON, adresu.</w:t>
            </w:r>
          </w:p>
        </w:tc>
        <w:tc>
          <w:tcPr>
            <w:tcW w:w="1246" w:type="dxa"/>
            <w:tcBorders>
              <w:top w:val="single" w:sz="4" w:space="0" w:color="000000"/>
              <w:left w:val="single" w:sz="4" w:space="0" w:color="000000"/>
              <w:bottom w:val="single" w:sz="4" w:space="0" w:color="000000"/>
              <w:right w:val="single" w:sz="4" w:space="0" w:color="000000"/>
            </w:tcBorders>
            <w:vAlign w:val="center"/>
          </w:tcPr>
          <w:p w14:paraId="17A5C49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2598696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8CE4EF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433BEE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2FB55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Wbudowany mechanizm walidacyjny nie pozwalający na wprowadzenie kontrahenta o tych samych atrybutach (np. NIP).</w:t>
            </w:r>
          </w:p>
        </w:tc>
        <w:tc>
          <w:tcPr>
            <w:tcW w:w="1246" w:type="dxa"/>
            <w:tcBorders>
              <w:top w:val="single" w:sz="4" w:space="0" w:color="000000"/>
              <w:left w:val="single" w:sz="4" w:space="0" w:color="000000"/>
              <w:bottom w:val="single" w:sz="4" w:space="0" w:color="000000"/>
              <w:right w:val="single" w:sz="4" w:space="0" w:color="000000"/>
            </w:tcBorders>
            <w:vAlign w:val="center"/>
          </w:tcPr>
          <w:p w14:paraId="414D2D4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0400835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4354CA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DB72F1F"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7977B3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Wbudowany mechanizm scalania kontrahentów. W ramach scalania kontrahentów mechanizm przepisze wszystkie dotychczasowe sprawy na nowopowstałego lub pozostawianego kontrahenta.</w:t>
            </w:r>
          </w:p>
        </w:tc>
        <w:tc>
          <w:tcPr>
            <w:tcW w:w="1246" w:type="dxa"/>
            <w:tcBorders>
              <w:top w:val="single" w:sz="4" w:space="0" w:color="000000"/>
              <w:left w:val="single" w:sz="4" w:space="0" w:color="000000"/>
              <w:bottom w:val="single" w:sz="4" w:space="0" w:color="000000"/>
              <w:right w:val="single" w:sz="4" w:space="0" w:color="000000"/>
            </w:tcBorders>
            <w:vAlign w:val="center"/>
          </w:tcPr>
          <w:p w14:paraId="3960089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2225346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C243D6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BC9D84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199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97A746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importu danych kontrahentów z systemu zewnętrznego.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39CF98C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7635173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9D2CA5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554FDC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200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986EE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Wbudowany mechanizm walidacji importowanych danych uniemożliwiający utworzenie duplikatu kontrahenta np. o tym samym numerze NIP.</w:t>
            </w:r>
          </w:p>
        </w:tc>
        <w:tc>
          <w:tcPr>
            <w:tcW w:w="1246" w:type="dxa"/>
            <w:tcBorders>
              <w:top w:val="single" w:sz="4" w:space="0" w:color="000000"/>
              <w:left w:val="single" w:sz="4" w:space="0" w:color="000000"/>
              <w:bottom w:val="single" w:sz="4" w:space="0" w:color="000000"/>
              <w:right w:val="single" w:sz="4" w:space="0" w:color="000000"/>
            </w:tcBorders>
            <w:vAlign w:val="center"/>
          </w:tcPr>
          <w:p w14:paraId="3AE40CF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5603707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9B9AF45"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06A8EDDB"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Moduł AI</w:t>
            </w:r>
          </w:p>
        </w:tc>
      </w:tr>
      <w:tr w:rsidR="00735AAD" w:rsidRPr="00735AAD" w14:paraId="619571E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385B33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201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B3869C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wykorzystanie sztucznej inteligencji i uczenia maszynowego (AI/ML) w realizowanych procesach w celu automatyzacji wybranych czynności procesowych co najmniej w zakresie klasyfikacji dokumentów i ekstrakcji kluczowych danych z przetwarzanych dokumentów – umów i faktur z użyciem dużych modeli językowych (LLM) i/lub innych metod z obszaru sztucznej inteligencji oraz uczenia maszynowego.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7E3F686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9232892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80285C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D3FFBE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202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5AAF4A8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umożliwiać trenowanie, ewaluację i użycie produkcyjne modeli </w:t>
            </w:r>
            <w:r w:rsidRPr="00735AAD">
              <w:rPr>
                <w:rFonts w:ascii="Times New Roman" w:hAnsi="Times New Roman" w:cs="Times New Roman"/>
              </w:rPr>
              <w:lastRenderedPageBreak/>
              <w:t>AI/ML dedykowanych do konkretnych zadań procesowych związanych z charakterystyką procesów i danych zamawiającego, takich jak rozdzielenie (klasyfikacja) dokumentów, ekstrakcja kluczowych danych z tych dokumentów, podsumowywanie treści, podpowiadanie treści powiązanych semantycznie z daną sprawą, wyszukiwanie semantyczne dokumentów i spraw na podstawie zapytań użytkownika w języku naturalnym.</w:t>
            </w:r>
          </w:p>
        </w:tc>
        <w:tc>
          <w:tcPr>
            <w:tcW w:w="1246" w:type="dxa"/>
            <w:tcBorders>
              <w:top w:val="single" w:sz="4" w:space="0" w:color="000000"/>
              <w:left w:val="single" w:sz="4" w:space="0" w:color="000000"/>
              <w:bottom w:val="single" w:sz="4" w:space="0" w:color="000000"/>
              <w:right w:val="single" w:sz="4" w:space="0" w:color="000000"/>
            </w:tcBorders>
            <w:vAlign w:val="center"/>
          </w:tcPr>
          <w:p w14:paraId="11CAB15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1970761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079F30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3D363CA"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lastRenderedPageBreak/>
              <w:t>203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5FA7E1D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wyeksportowanie danych z rejestrów systemowych w postaci umożliwiającej wykorzystanie wprowadzonych do rejestru danych jako zbiorów treningowo-ewaluacyjnych do tworzenia, trenowania i ewaluacji modeli AI/ML dedykowanych dla procesów i danych charakterystycznych dla zamawiającego. Zbiór treningowy musi zawierać co najmniej dla każdego rekordu: cyfrową wersję oryginalnego dokumentu, warstwę tekstową odczytaną z dokumentu i metadane z metryki dokumentu w zakresie wskazanym przez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469014C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6011804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B3FE37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16E34F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204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7BF3534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uruchamianie trenowania i ewaluacji modeli AI/ML na podstawie przygotowanych wcześniej zbiorów treningowo-ewaluacyjnych w sposób automatyczny, bez konieczności programowania, z użyciem interfejsu użytkownika. W zależności od rodzaju zadania (ekstrakcja pól danych, klasyfikacja) moduł trenowania powinien automatycznie zwracać odpowiednie statystyki jakościowe modelu (średnia harmoniczne, współczynnik sukcesu rozpoznanych danych itp.).</w:t>
            </w:r>
          </w:p>
        </w:tc>
        <w:tc>
          <w:tcPr>
            <w:tcW w:w="1246" w:type="dxa"/>
            <w:tcBorders>
              <w:top w:val="single" w:sz="4" w:space="0" w:color="000000"/>
              <w:left w:val="single" w:sz="4" w:space="0" w:color="000000"/>
              <w:bottom w:val="single" w:sz="4" w:space="0" w:color="000000"/>
              <w:right w:val="single" w:sz="4" w:space="0" w:color="000000"/>
            </w:tcBorders>
            <w:vAlign w:val="center"/>
          </w:tcPr>
          <w:p w14:paraId="40CFB42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6325908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0B2E21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D05F9C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205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494C7EA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umożliwiać tzw. </w:t>
            </w:r>
            <w:proofErr w:type="spellStart"/>
            <w:r w:rsidRPr="00735AAD">
              <w:rPr>
                <w:rFonts w:ascii="Times New Roman" w:hAnsi="Times New Roman" w:cs="Times New Roman"/>
              </w:rPr>
              <w:t>prompt</w:t>
            </w:r>
            <w:proofErr w:type="spellEnd"/>
            <w:r w:rsidRPr="00735AAD">
              <w:rPr>
                <w:rFonts w:ascii="Times New Roman" w:hAnsi="Times New Roman" w:cs="Times New Roman"/>
              </w:rPr>
              <w:t xml:space="preserve"> engineering to jest weryfikację jakości działania określonego przez użytkownika </w:t>
            </w:r>
            <w:proofErr w:type="spellStart"/>
            <w:r w:rsidRPr="00735AAD">
              <w:rPr>
                <w:rFonts w:ascii="Times New Roman" w:hAnsi="Times New Roman" w:cs="Times New Roman"/>
              </w:rPr>
              <w:t>promptu</w:t>
            </w:r>
            <w:proofErr w:type="spellEnd"/>
            <w:r w:rsidRPr="00735AAD">
              <w:rPr>
                <w:rFonts w:ascii="Times New Roman" w:hAnsi="Times New Roman" w:cs="Times New Roman"/>
              </w:rPr>
              <w:t xml:space="preserve"> (zapytania do dużego modelu językowego) w odniesieniu do przygotowanego zbioru danych treningowych co najmniej dla zadań ekstrakcji kluczowych danych z treści dokumentów oraz dla zadań klasyfikacji danych. System powinien automatycznie uruchamiać </w:t>
            </w:r>
            <w:proofErr w:type="spellStart"/>
            <w:r w:rsidRPr="00735AAD">
              <w:rPr>
                <w:rFonts w:ascii="Times New Roman" w:hAnsi="Times New Roman" w:cs="Times New Roman"/>
              </w:rPr>
              <w:t>prompt</w:t>
            </w:r>
            <w:proofErr w:type="spellEnd"/>
            <w:r w:rsidRPr="00735AAD">
              <w:rPr>
                <w:rFonts w:ascii="Times New Roman" w:hAnsi="Times New Roman" w:cs="Times New Roman"/>
              </w:rPr>
              <w:t xml:space="preserve"> dla każdego rekordu ze zbioru treningowego i agregować wyniki działania w postaci statystyk.</w:t>
            </w:r>
          </w:p>
        </w:tc>
        <w:tc>
          <w:tcPr>
            <w:tcW w:w="1246" w:type="dxa"/>
            <w:tcBorders>
              <w:top w:val="single" w:sz="4" w:space="0" w:color="000000"/>
              <w:left w:val="single" w:sz="4" w:space="0" w:color="000000"/>
              <w:bottom w:val="single" w:sz="4" w:space="0" w:color="000000"/>
              <w:right w:val="single" w:sz="4" w:space="0" w:color="000000"/>
            </w:tcBorders>
            <w:vAlign w:val="center"/>
          </w:tcPr>
          <w:p w14:paraId="16A345A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6386613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300A55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9996E51"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206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4E29F5F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uruchamianie różnych implementacji dużych modeli językowych (LLM) w infrastrukturze lokalnej Zamawiającego. Dane osobowe i wrażliwe przetwarzane przez system nie mogą być wysyłane do modeli chmurowych.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3ACDC4B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6979439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84487B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AD3633A"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207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2A928E8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równoległe wdrażanie i działanie wielu różnych dedykowanych, wytrenowanych dla zamawiającego modeli jako serwisów AI dostępnych poprzez API, które może być wywoływane w przebiegu skonfigurowanego procesu biznesowego.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53719A9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3129786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FFC5E3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186BA7"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208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2BE6A12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umożliwiać ewidencję wdrożonych serwisów AI w postaci odpowiedniego rejestru z uwzględnieniem w metadanych agenta jego nazwy, roli, </w:t>
            </w:r>
            <w:proofErr w:type="spellStart"/>
            <w:r w:rsidRPr="00735AAD">
              <w:rPr>
                <w:rFonts w:ascii="Times New Roman" w:hAnsi="Times New Roman" w:cs="Times New Roman"/>
              </w:rPr>
              <w:t>url</w:t>
            </w:r>
            <w:proofErr w:type="spellEnd"/>
            <w:r w:rsidRPr="00735AAD">
              <w:rPr>
                <w:rFonts w:ascii="Times New Roman" w:hAnsi="Times New Roman" w:cs="Times New Roman"/>
              </w:rPr>
              <w:t xml:space="preserve"> API agenta, opisem rodzaju wykonywanego zadania i danych, na których był trenowany/ewaluowany.</w:t>
            </w:r>
          </w:p>
        </w:tc>
        <w:tc>
          <w:tcPr>
            <w:tcW w:w="1246" w:type="dxa"/>
            <w:tcBorders>
              <w:top w:val="single" w:sz="4" w:space="0" w:color="000000"/>
              <w:left w:val="single" w:sz="4" w:space="0" w:color="000000"/>
              <w:bottom w:val="single" w:sz="4" w:space="0" w:color="000000"/>
              <w:right w:val="single" w:sz="4" w:space="0" w:color="000000"/>
            </w:tcBorders>
            <w:vAlign w:val="center"/>
          </w:tcPr>
          <w:p w14:paraId="49C1844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0454455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FAB5D6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FB7A70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209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38F3D6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umożliwiać obserwowalność i </w:t>
            </w:r>
            <w:proofErr w:type="spellStart"/>
            <w:r w:rsidRPr="00735AAD">
              <w:rPr>
                <w:rFonts w:ascii="Times New Roman" w:hAnsi="Times New Roman" w:cs="Times New Roman"/>
              </w:rPr>
              <w:t>audytowalność</w:t>
            </w:r>
            <w:proofErr w:type="spellEnd"/>
            <w:r w:rsidRPr="00735AAD">
              <w:rPr>
                <w:rFonts w:ascii="Times New Roman" w:hAnsi="Times New Roman" w:cs="Times New Roman"/>
              </w:rPr>
              <w:t xml:space="preserve"> działania wdrożonych modeli tj. rejestrować kiedy i dla jakich danych wejściowych jakiej odpowiedzi udzielił dany model.</w:t>
            </w:r>
          </w:p>
        </w:tc>
        <w:tc>
          <w:tcPr>
            <w:tcW w:w="1246" w:type="dxa"/>
            <w:tcBorders>
              <w:top w:val="single" w:sz="4" w:space="0" w:color="000000"/>
              <w:left w:val="single" w:sz="4" w:space="0" w:color="000000"/>
              <w:bottom w:val="single" w:sz="4" w:space="0" w:color="000000"/>
              <w:right w:val="single" w:sz="4" w:space="0" w:color="000000"/>
            </w:tcBorders>
            <w:vAlign w:val="center"/>
          </w:tcPr>
          <w:p w14:paraId="1932DF4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0546880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2F95911"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7C2A6F36"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Integracje SEOD</w:t>
            </w:r>
          </w:p>
        </w:tc>
      </w:tr>
      <w:tr w:rsidR="00735AAD" w:rsidRPr="00735AAD" w14:paraId="4252B86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2DA8AC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210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0A2D6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należy zintegrować z Active Directory Zamawiającego w zakresie wykorzystania do autoryzacji nazw użytkowników i haseł przechowywanych w domenie.</w:t>
            </w:r>
          </w:p>
        </w:tc>
        <w:tc>
          <w:tcPr>
            <w:tcW w:w="1246" w:type="dxa"/>
            <w:tcBorders>
              <w:top w:val="single" w:sz="4" w:space="0" w:color="000000"/>
              <w:left w:val="single" w:sz="4" w:space="0" w:color="000000"/>
              <w:bottom w:val="single" w:sz="4" w:space="0" w:color="000000"/>
              <w:right w:val="single" w:sz="4" w:space="0" w:color="000000"/>
            </w:tcBorders>
            <w:vAlign w:val="center"/>
          </w:tcPr>
          <w:p w14:paraId="727D0C6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6990180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E1D0A7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A78CBD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211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30C61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pozwolić na współpracę ze wszystkim rodzajami skanerów posiadanymi przez zamawiającego. W ramach niniejszego zamówienia SEOD należy zintegrować z 2 skanerami posiadanymi przez Zamawiającego.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752BD87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237386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FBA5FB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B27C6D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212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004A5E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System musi posiadać mechanizm integracji z dedykowanymi skrzynkami e-mail Zamawiającego (z przesłanego dokumentu na dedykowaną skrzynkę, zintegrowaną z SEOD musi istnieć możliwość rejestracji w SEOD wybranego typu sprawy (np. faktura, umowa) oraz podpięcia do danej sprawy wybranych </w:t>
            </w:r>
            <w:r w:rsidRPr="00735AAD">
              <w:rPr>
                <w:rFonts w:ascii="Times New Roman" w:hAnsi="Times New Roman" w:cs="Times New Roman"/>
              </w:rPr>
              <w:lastRenderedPageBreak/>
              <w:t>lub wszystkich załączników dołączonych do korespondencji mailowej, łącznie z treścią wiadomości mailowej).</w:t>
            </w:r>
          </w:p>
        </w:tc>
        <w:tc>
          <w:tcPr>
            <w:tcW w:w="1246" w:type="dxa"/>
            <w:tcBorders>
              <w:top w:val="single" w:sz="4" w:space="0" w:color="000000"/>
              <w:left w:val="single" w:sz="4" w:space="0" w:color="000000"/>
              <w:bottom w:val="single" w:sz="4" w:space="0" w:color="000000"/>
              <w:right w:val="single" w:sz="4" w:space="0" w:color="000000"/>
            </w:tcBorders>
            <w:vAlign w:val="center"/>
          </w:tcPr>
          <w:p w14:paraId="3D5DBA2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039904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D703D1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BF63C7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lastRenderedPageBreak/>
              <w:t>213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07A139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wbudowany mechanizm integracji z Platformą Elektronicznego Fakturowania.</w:t>
            </w:r>
          </w:p>
        </w:tc>
        <w:tc>
          <w:tcPr>
            <w:tcW w:w="1246" w:type="dxa"/>
            <w:tcBorders>
              <w:top w:val="single" w:sz="4" w:space="0" w:color="000000"/>
              <w:left w:val="single" w:sz="4" w:space="0" w:color="000000"/>
              <w:bottom w:val="single" w:sz="4" w:space="0" w:color="000000"/>
              <w:right w:val="single" w:sz="4" w:space="0" w:color="000000"/>
            </w:tcBorders>
            <w:vAlign w:val="center"/>
          </w:tcPr>
          <w:p w14:paraId="164E85D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1420952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3D1EF1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E3EACE"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214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3B39FB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wbudowany mechanizm integracji z Krajowym Systemem e-Faktur.</w:t>
            </w:r>
          </w:p>
        </w:tc>
        <w:tc>
          <w:tcPr>
            <w:tcW w:w="1246" w:type="dxa"/>
            <w:tcBorders>
              <w:top w:val="single" w:sz="4" w:space="0" w:color="000000"/>
              <w:left w:val="single" w:sz="4" w:space="0" w:color="000000"/>
              <w:bottom w:val="single" w:sz="4" w:space="0" w:color="000000"/>
              <w:right w:val="single" w:sz="4" w:space="0" w:color="000000"/>
            </w:tcBorders>
            <w:vAlign w:val="center"/>
          </w:tcPr>
          <w:p w14:paraId="1D027F1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3657829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2BF9B8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CD3FF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215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1C741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wbudowany mechanizm integracji z bazą TERYT GUS. Integracja z baza TERYT musi umożliwiać przy rejestracji nowego kontaktu lub kontrahenta na podstawie wprowadzonej nazwy ulicy podpowiadać nazwę miasta, gminy, powiatu, województwa w których występuje dana ulica, a po wybraniu właściwej pozycji automatyczne wprowadzenie wszystkich pobranych danych do okna rejestracji nowego kontaktu lub kontrahenta.</w:t>
            </w:r>
          </w:p>
        </w:tc>
        <w:tc>
          <w:tcPr>
            <w:tcW w:w="1246" w:type="dxa"/>
            <w:tcBorders>
              <w:top w:val="single" w:sz="4" w:space="0" w:color="000000"/>
              <w:left w:val="single" w:sz="4" w:space="0" w:color="000000"/>
              <w:bottom w:val="single" w:sz="4" w:space="0" w:color="000000"/>
              <w:right w:val="single" w:sz="4" w:space="0" w:color="000000"/>
            </w:tcBorders>
            <w:vAlign w:val="center"/>
          </w:tcPr>
          <w:p w14:paraId="469EBCD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2623498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D0FE8B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BBEB44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216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E16FC0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wbudowany mechanizm integracji z bazą REGON GUS. Integracja z bazą REGON GUS musi umożliwiać po wpisaniu w oknie rejestracji nowego kontrahenta SEOD jednego z numerów NIP, REGON lub KRS pobranie z bazy REGON GUS danych tego kontrahenta - nazwy, nr NIP, REGON, adresu.</w:t>
            </w:r>
          </w:p>
        </w:tc>
        <w:tc>
          <w:tcPr>
            <w:tcW w:w="1246" w:type="dxa"/>
            <w:tcBorders>
              <w:top w:val="single" w:sz="4" w:space="0" w:color="000000"/>
              <w:left w:val="single" w:sz="4" w:space="0" w:color="000000"/>
              <w:bottom w:val="single" w:sz="4" w:space="0" w:color="000000"/>
              <w:right w:val="single" w:sz="4" w:space="0" w:color="000000"/>
            </w:tcBorders>
            <w:vAlign w:val="center"/>
          </w:tcPr>
          <w:p w14:paraId="52CEA80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1445605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E56962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6603AE1"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217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4BFA79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Integracja z bazą REGON GUS musi również umożliwiać automatyczne założenie kartoteki kontrahenta, którego nie ma w bazie SEOD w oknie rejestracji faktury na podstawie sczytanego z faktury numeru NIP. Numer NIP powinien być automatycznie sczytywany za pomocą wbudowanego modułu OCR.</w:t>
            </w:r>
          </w:p>
        </w:tc>
        <w:tc>
          <w:tcPr>
            <w:tcW w:w="1246" w:type="dxa"/>
            <w:tcBorders>
              <w:top w:val="single" w:sz="4" w:space="0" w:color="000000"/>
              <w:left w:val="single" w:sz="4" w:space="0" w:color="000000"/>
              <w:bottom w:val="single" w:sz="4" w:space="0" w:color="000000"/>
              <w:right w:val="single" w:sz="4" w:space="0" w:color="000000"/>
            </w:tcBorders>
            <w:vAlign w:val="center"/>
          </w:tcPr>
          <w:p w14:paraId="778E6F7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5191706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D031A3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ACBF88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218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E09B45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wbudowaną bazę kodów pocztowych wraz z przypisanymi miejscowościami lub posiadać mechanizm integracyjny z taką platformą. W oknie rejestracji nowego kontaktu lub kontrahenta po wprowadzeniu numeru kodu pocztowego systemu musi podpowiadać na bazie danych pobranych z bazy kodów pocztowych przypisane dla danego kodu pocztowego miasto i ulice.</w:t>
            </w:r>
          </w:p>
        </w:tc>
        <w:tc>
          <w:tcPr>
            <w:tcW w:w="1246" w:type="dxa"/>
            <w:tcBorders>
              <w:top w:val="single" w:sz="4" w:space="0" w:color="000000"/>
              <w:left w:val="single" w:sz="4" w:space="0" w:color="000000"/>
              <w:bottom w:val="single" w:sz="4" w:space="0" w:color="000000"/>
              <w:right w:val="single" w:sz="4" w:space="0" w:color="000000"/>
            </w:tcBorders>
            <w:vAlign w:val="center"/>
          </w:tcPr>
          <w:p w14:paraId="25579BD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8633875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34D118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B1295C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219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308407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być zintegrowany z białą listą podatników VAT umożliwiając weryfikacją kontrahenta jako czynnego podatnika VAT oraz przypisane do niego rachunki bankowe. (SEOD w teczce danej faktury oraz na formularzu rejestracji faktury musi umożliwiać weryfikację danych kontrahenta z białą listą podatników VAT i wyświetlać status weryfikacji kontrahenta użytkownikowi.  </w:t>
            </w:r>
          </w:p>
        </w:tc>
        <w:tc>
          <w:tcPr>
            <w:tcW w:w="1246" w:type="dxa"/>
            <w:tcBorders>
              <w:top w:val="single" w:sz="4" w:space="0" w:color="000000"/>
              <w:left w:val="single" w:sz="4" w:space="0" w:color="000000"/>
              <w:bottom w:val="single" w:sz="4" w:space="0" w:color="000000"/>
              <w:right w:val="single" w:sz="4" w:space="0" w:color="000000"/>
            </w:tcBorders>
            <w:vAlign w:val="center"/>
          </w:tcPr>
          <w:p w14:paraId="2E9EF5E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9481668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AAC547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EA6947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220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799FE4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należy zintegrować z systemem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i AMMS w zakresie opisanym w punktach „Integracja z systemem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oraz Integracja z systemem AMMS”</w:t>
            </w:r>
          </w:p>
        </w:tc>
        <w:tc>
          <w:tcPr>
            <w:tcW w:w="1246" w:type="dxa"/>
            <w:tcBorders>
              <w:top w:val="single" w:sz="4" w:space="0" w:color="000000"/>
              <w:left w:val="single" w:sz="4" w:space="0" w:color="000000"/>
              <w:bottom w:val="single" w:sz="4" w:space="0" w:color="000000"/>
              <w:right w:val="single" w:sz="4" w:space="0" w:color="000000"/>
            </w:tcBorders>
            <w:vAlign w:val="center"/>
          </w:tcPr>
          <w:p w14:paraId="29BBF4D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3601228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778EE20"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30311ED7"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Rejestr i rozliczanie kosztowe umów</w:t>
            </w:r>
          </w:p>
        </w:tc>
      </w:tr>
      <w:tr w:rsidR="00735AAD" w:rsidRPr="00735AAD" w14:paraId="08CAE3E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554418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221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62B43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Prowadzenie rejestru różnego rodzaju/typów umów (np. najmu, dostawy, na świadczenie usług, darowizny, kontraktowych).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61A818C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6687511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BEB4C1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A96FB4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222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D338AA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Dla umów należy w SEOD utworzyć dedykowany rejestr gdzie będą widoczne wszystkie umowy zarejestrowane w SEOD w ramach danego typu sprawy – umów. W SEOD musi funkcjonować osobny, dedykowany rejestr wszystkich umów oraz dedykowane rejestry każdego z rodzajów/typów umów.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7D5AB55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7832069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B5F8DB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D37390"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223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705274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Wielopoziomowy podział rejestru umów.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2BC122C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8036449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5C90C7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BCCC7D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224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A1BC14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Definiowanie uprawnień dostępowych do każdego z poziomów rejestru umów.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25D2746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4684177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B46CAB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CF09BD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225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597095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Rejestracja danych z umowy w polach zadeklarowanych przez Zamawiającego na etapie analizy przedwdrożeniowej w obrębie formularza rejestracji oraz typu/rodzaju umowy.</w:t>
            </w:r>
          </w:p>
        </w:tc>
        <w:tc>
          <w:tcPr>
            <w:tcW w:w="1246" w:type="dxa"/>
            <w:tcBorders>
              <w:top w:val="single" w:sz="4" w:space="0" w:color="000000"/>
              <w:left w:val="single" w:sz="4" w:space="0" w:color="000000"/>
              <w:bottom w:val="single" w:sz="4" w:space="0" w:color="000000"/>
              <w:right w:val="single" w:sz="4" w:space="0" w:color="000000"/>
            </w:tcBorders>
            <w:vAlign w:val="center"/>
          </w:tcPr>
          <w:p w14:paraId="5E4EACC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4679284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258AB5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DAF34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226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2BB45BE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automatyczną ekstrakcję istotnych parametrów z treści umów z wykorzystaniem analizy tekstu za pomocą dużych modeli językowych (LLM).</w:t>
            </w:r>
          </w:p>
        </w:tc>
        <w:tc>
          <w:tcPr>
            <w:tcW w:w="1246" w:type="dxa"/>
            <w:tcBorders>
              <w:top w:val="single" w:sz="4" w:space="0" w:color="000000"/>
              <w:left w:val="single" w:sz="4" w:space="0" w:color="000000"/>
              <w:bottom w:val="single" w:sz="4" w:space="0" w:color="000000"/>
              <w:right w:val="single" w:sz="4" w:space="0" w:color="000000"/>
            </w:tcBorders>
            <w:vAlign w:val="center"/>
          </w:tcPr>
          <w:p w14:paraId="4136E76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8528226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33CBDF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EB12C2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227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DF7930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Udostępnianie umów wskazanym użytkownikom przez użytkowników </w:t>
            </w:r>
            <w:r w:rsidRPr="00735AAD">
              <w:rPr>
                <w:rFonts w:ascii="Times New Roman" w:hAnsi="Times New Roman" w:cs="Times New Roman"/>
              </w:rPr>
              <w:lastRenderedPageBreak/>
              <w:t>posiadających do nich dostęp.</w:t>
            </w:r>
          </w:p>
        </w:tc>
        <w:tc>
          <w:tcPr>
            <w:tcW w:w="1246" w:type="dxa"/>
            <w:tcBorders>
              <w:top w:val="single" w:sz="4" w:space="0" w:color="000000"/>
              <w:left w:val="single" w:sz="4" w:space="0" w:color="000000"/>
              <w:bottom w:val="single" w:sz="4" w:space="0" w:color="000000"/>
              <w:right w:val="single" w:sz="4" w:space="0" w:color="000000"/>
            </w:tcBorders>
            <w:vAlign w:val="center"/>
          </w:tcPr>
          <w:p w14:paraId="1DD082F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2872191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D821D9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50286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lastRenderedPageBreak/>
              <w:t>228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A2A234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Wskazywanie jednostek organizacyjnych odpowiedzialnych za realizację umowy.</w:t>
            </w:r>
          </w:p>
        </w:tc>
        <w:tc>
          <w:tcPr>
            <w:tcW w:w="1246" w:type="dxa"/>
            <w:tcBorders>
              <w:top w:val="single" w:sz="4" w:space="0" w:color="000000"/>
              <w:left w:val="single" w:sz="4" w:space="0" w:color="000000"/>
              <w:bottom w:val="single" w:sz="4" w:space="0" w:color="000000"/>
              <w:right w:val="single" w:sz="4" w:space="0" w:color="000000"/>
            </w:tcBorders>
            <w:vAlign w:val="center"/>
          </w:tcPr>
          <w:p w14:paraId="5D980EF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7116088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11D10E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3B56B10"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229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1D93CC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automatycznie zmieni status umowy po jej zakończeniu i nie pozwoli na przypisanie jej do innych dokumentów.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55FD4A6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5089596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0F4387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31EA84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A2A08A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pozwoli na definiowanie przypomnień związanych z umowami (przypomnienie generowane w formie e-mail lub zadani systemowego dla konkretnego użytkownika). Użytkownik musi posiadać możliwość zdefiniowania interwału przypomnień (rok, miesiąc, dzień, czas) oraz treści przypomnienia.</w:t>
            </w:r>
          </w:p>
        </w:tc>
        <w:tc>
          <w:tcPr>
            <w:tcW w:w="1246" w:type="dxa"/>
            <w:tcBorders>
              <w:top w:val="single" w:sz="4" w:space="0" w:color="000000"/>
              <w:left w:val="single" w:sz="4" w:space="0" w:color="000000"/>
              <w:bottom w:val="single" w:sz="4" w:space="0" w:color="000000"/>
              <w:right w:val="single" w:sz="4" w:space="0" w:color="000000"/>
            </w:tcBorders>
            <w:vAlign w:val="center"/>
          </w:tcPr>
          <w:p w14:paraId="499AC13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5965525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B65F9B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4264DD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C854EE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nadawanie uprawnień w ramach danej kategorii umowy (uprawnienia do podglądu oraz edycji).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7130E24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5843348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63AEFD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229AA3D"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374A80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Definiowanie umów zależnych od siebie (np. umów RODO przypisanych do danej umowy głównej, aneksów do umowy głównej).</w:t>
            </w:r>
          </w:p>
        </w:tc>
        <w:tc>
          <w:tcPr>
            <w:tcW w:w="1246" w:type="dxa"/>
            <w:tcBorders>
              <w:top w:val="single" w:sz="4" w:space="0" w:color="000000"/>
              <w:left w:val="single" w:sz="4" w:space="0" w:color="000000"/>
              <w:bottom w:val="single" w:sz="4" w:space="0" w:color="000000"/>
              <w:right w:val="single" w:sz="4" w:space="0" w:color="000000"/>
            </w:tcBorders>
            <w:vAlign w:val="center"/>
          </w:tcPr>
          <w:p w14:paraId="0D5EBB0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9543616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44996D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10BAB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2D7D8A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wiązanie umów z dokumentami kosztowymi (fakturami) wpływającymi na ich obciążenia. Wiązanie to odbywać się musi na etapie opisu merytorycznego faktury poprzez wskazanie do każdej pozycji opisu merytorycznego faktury umowy, która dotyczy danej pozycji opisu. Przypisanie umowy do pozycji opisu merytorycznego faktury obciąża limit umowy globalnie i w danym okresie rozliczeniowym.</w:t>
            </w:r>
          </w:p>
        </w:tc>
        <w:tc>
          <w:tcPr>
            <w:tcW w:w="1246" w:type="dxa"/>
            <w:tcBorders>
              <w:top w:val="single" w:sz="4" w:space="0" w:color="000000"/>
              <w:left w:val="single" w:sz="4" w:space="0" w:color="000000"/>
              <w:bottom w:val="single" w:sz="4" w:space="0" w:color="000000"/>
              <w:right w:val="single" w:sz="4" w:space="0" w:color="000000"/>
            </w:tcBorders>
            <w:vAlign w:val="center"/>
          </w:tcPr>
          <w:p w14:paraId="2D9E12F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2788280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E1AF71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62BDD0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CABD6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umożliwia raportowanie stanu wykorzystania limitów umów globalnie i w danym okresie rozliczeniowym ze szczególnym wskazaniem przekroczeń.</w:t>
            </w:r>
          </w:p>
        </w:tc>
        <w:tc>
          <w:tcPr>
            <w:tcW w:w="1246" w:type="dxa"/>
            <w:tcBorders>
              <w:top w:val="single" w:sz="4" w:space="0" w:color="000000"/>
              <w:left w:val="single" w:sz="4" w:space="0" w:color="000000"/>
              <w:bottom w:val="single" w:sz="4" w:space="0" w:color="000000"/>
              <w:right w:val="single" w:sz="4" w:space="0" w:color="000000"/>
            </w:tcBorders>
            <w:vAlign w:val="center"/>
          </w:tcPr>
          <w:p w14:paraId="3BD178F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0291206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71107C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B87341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E6D38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na poziomie umowy zaprezentuje faktury, które wpływają na realizację wartościową umowy.</w:t>
            </w:r>
          </w:p>
        </w:tc>
        <w:tc>
          <w:tcPr>
            <w:tcW w:w="1246" w:type="dxa"/>
            <w:tcBorders>
              <w:top w:val="single" w:sz="4" w:space="0" w:color="000000"/>
              <w:left w:val="single" w:sz="4" w:space="0" w:color="000000"/>
              <w:bottom w:val="single" w:sz="4" w:space="0" w:color="000000"/>
              <w:right w:val="single" w:sz="4" w:space="0" w:color="000000"/>
            </w:tcBorders>
            <w:vAlign w:val="center"/>
          </w:tcPr>
          <w:p w14:paraId="2E4E25E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9997675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424ADD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364369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68FC5E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pozwoli na prezentowanie w formie graficznej stanu realizacji umowy w odniesieniu do wartości umowy.</w:t>
            </w:r>
          </w:p>
        </w:tc>
        <w:tc>
          <w:tcPr>
            <w:tcW w:w="1246" w:type="dxa"/>
            <w:tcBorders>
              <w:top w:val="single" w:sz="4" w:space="0" w:color="000000"/>
              <w:left w:val="single" w:sz="4" w:space="0" w:color="000000"/>
              <w:bottom w:val="single" w:sz="4" w:space="0" w:color="000000"/>
              <w:right w:val="single" w:sz="4" w:space="0" w:color="000000"/>
            </w:tcBorders>
            <w:vAlign w:val="center"/>
          </w:tcPr>
          <w:p w14:paraId="74A90B5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2338486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70AC6E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E2E1BF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9F3030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z poziomu teczki umowy musi pozwalać na bezpośrednie przejście do dokumentu faktury, który ją obciąża. </w:t>
            </w:r>
          </w:p>
        </w:tc>
        <w:tc>
          <w:tcPr>
            <w:tcW w:w="1246" w:type="dxa"/>
            <w:tcBorders>
              <w:top w:val="single" w:sz="4" w:space="0" w:color="000000"/>
              <w:left w:val="single" w:sz="4" w:space="0" w:color="000000"/>
              <w:bottom w:val="single" w:sz="4" w:space="0" w:color="000000"/>
              <w:right w:val="single" w:sz="4" w:space="0" w:color="000000"/>
            </w:tcBorders>
            <w:vAlign w:val="center"/>
          </w:tcPr>
          <w:p w14:paraId="6AC7336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7218832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122CF2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37EAFBD"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E28DBA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umożliwiać rejestrację umów już częściowo zrealizowanych w momencie ich rejestracji z opcją wskazania kwoty pozostałej do wykorzystania. Na tej podstawie SEOD musi umożliwiać obciążanie dokumentami kosztowymi (fakturami) pozostałej kwoty umowy. </w:t>
            </w:r>
          </w:p>
        </w:tc>
        <w:tc>
          <w:tcPr>
            <w:tcW w:w="1246" w:type="dxa"/>
            <w:tcBorders>
              <w:top w:val="single" w:sz="4" w:space="0" w:color="000000"/>
              <w:left w:val="single" w:sz="4" w:space="0" w:color="000000"/>
              <w:bottom w:val="single" w:sz="4" w:space="0" w:color="000000"/>
              <w:right w:val="single" w:sz="4" w:space="0" w:color="000000"/>
            </w:tcBorders>
            <w:vAlign w:val="center"/>
          </w:tcPr>
          <w:p w14:paraId="6080329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4209657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42DC924"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1F712F3C"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Rejestr i obieg faktur SEOD</w:t>
            </w:r>
          </w:p>
        </w:tc>
      </w:tr>
      <w:tr w:rsidR="00735AAD" w:rsidRPr="00735AAD" w14:paraId="2E46249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B8A5AB1"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239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C638B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Możliwość rejestracji i obsługi procesu obiegu faktur w SEOD, które wpłynęły w formie papierowej, mailem, poprzez PEF i </w:t>
            </w:r>
            <w:proofErr w:type="spellStart"/>
            <w:r w:rsidRPr="00735AAD">
              <w:rPr>
                <w:rFonts w:ascii="Times New Roman" w:hAnsi="Times New Roman" w:cs="Times New Roman"/>
              </w:rPr>
              <w:t>KSeF</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207B1E4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3626675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327231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3F5E28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240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AFF7D8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Dla faktur należy w SEOD utworzyć dedykowany, osobny rejestr gdzie będą widoczne wszystkie faktury zarejestrowane w SEOD.</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567F77E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2535018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1C2F89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7B2611"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241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27030D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Rejestracja faktury, która wpłynęła w formie papierowej i została zeskanowana lub wpłynęła na adres mailowy zintegrowany z SEOD odbywa się przy użyciu mechanizmu OCR (mechanizm OCR wypełni dane nagłówkowe  w oknie rejestracji faktury po przetworzeniu dokumentu. W minimalnym zakresie mechanizm OCR musi obejmować odczytywanie następujących danych: data sprzedaży, data otrzymania, data wystawienia faktury, nr NIP, nr konta bankowego, nr faktury, termin płatności, waluta, sposób płatności).</w:t>
            </w:r>
          </w:p>
        </w:tc>
        <w:tc>
          <w:tcPr>
            <w:tcW w:w="1246" w:type="dxa"/>
            <w:tcBorders>
              <w:top w:val="single" w:sz="4" w:space="0" w:color="000000"/>
              <w:left w:val="single" w:sz="4" w:space="0" w:color="000000"/>
              <w:bottom w:val="single" w:sz="4" w:space="0" w:color="000000"/>
              <w:right w:val="single" w:sz="4" w:space="0" w:color="000000"/>
            </w:tcBorders>
            <w:vAlign w:val="center"/>
          </w:tcPr>
          <w:p w14:paraId="550F948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4248341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7B7D62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C8372A"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242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EF90C7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Możliwość definiowania wielu różnych rodzajów/typów faktur posiadanych przez Zamawiającego. </w:t>
            </w:r>
          </w:p>
        </w:tc>
        <w:tc>
          <w:tcPr>
            <w:tcW w:w="1246" w:type="dxa"/>
            <w:tcBorders>
              <w:top w:val="single" w:sz="4" w:space="0" w:color="000000"/>
              <w:left w:val="single" w:sz="4" w:space="0" w:color="000000"/>
              <w:bottom w:val="single" w:sz="4" w:space="0" w:color="000000"/>
              <w:right w:val="single" w:sz="4" w:space="0" w:color="000000"/>
            </w:tcBorders>
            <w:vAlign w:val="center"/>
          </w:tcPr>
          <w:p w14:paraId="336012A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2438979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DFBD23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29F4EF7"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243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4A5276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Każdy z rodzajów/typów faktury musi pozwalać na uruchomienie odrębnego procesu obiegu dokumentu.</w:t>
            </w:r>
          </w:p>
        </w:tc>
        <w:tc>
          <w:tcPr>
            <w:tcW w:w="1246" w:type="dxa"/>
            <w:tcBorders>
              <w:top w:val="single" w:sz="4" w:space="0" w:color="000000"/>
              <w:left w:val="single" w:sz="4" w:space="0" w:color="000000"/>
              <w:bottom w:val="single" w:sz="4" w:space="0" w:color="000000"/>
              <w:right w:val="single" w:sz="4" w:space="0" w:color="000000"/>
            </w:tcBorders>
            <w:vAlign w:val="center"/>
          </w:tcPr>
          <w:p w14:paraId="6EE68EA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5409006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CE068A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0BC8CAD"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244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C6DBCF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Każda z rodzajów/typów faktury musi posiadać odrębne ustawienie konfiguracyjne.</w:t>
            </w:r>
          </w:p>
        </w:tc>
        <w:tc>
          <w:tcPr>
            <w:tcW w:w="1246" w:type="dxa"/>
            <w:tcBorders>
              <w:top w:val="single" w:sz="4" w:space="0" w:color="000000"/>
              <w:left w:val="single" w:sz="4" w:space="0" w:color="000000"/>
              <w:bottom w:val="single" w:sz="4" w:space="0" w:color="000000"/>
              <w:right w:val="single" w:sz="4" w:space="0" w:color="000000"/>
            </w:tcBorders>
            <w:vAlign w:val="center"/>
          </w:tcPr>
          <w:p w14:paraId="58F7FE3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6561752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D9A61A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1CE03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245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6D23AE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w ramach typu faktury musi pozwolić na definiowanie różnych atrybutów okna opisu merytorycznego (np. dodawanie pól typu słownik, opis, </w:t>
            </w:r>
            <w:proofErr w:type="spellStart"/>
            <w:r w:rsidRPr="00735AAD">
              <w:rPr>
                <w:rFonts w:ascii="Times New Roman" w:hAnsi="Times New Roman" w:cs="Times New Roman"/>
              </w:rPr>
              <w:t>chceckbox</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5A2A8E1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1040698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EEF1E2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6A0EDD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lastRenderedPageBreak/>
              <w:t>246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6D1A82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w ramach konfiguracji okna opisu merytorycznego musi pozwalać na generowanie tekstu dekretu w ramach wypełnianych danych przez użytkownika.</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242C9F7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7202264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5511BF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665A527"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247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47D85D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w ramach konfiguracji typu dokumentu faktury musi pozwalać na wskazanie różnych typów uprawnień np. edycji, możliwości opisu merytorycznego, możliwości akceptacji, możliwości uruchamiania korekty.</w:t>
            </w:r>
          </w:p>
        </w:tc>
        <w:tc>
          <w:tcPr>
            <w:tcW w:w="1246" w:type="dxa"/>
            <w:tcBorders>
              <w:top w:val="single" w:sz="4" w:space="0" w:color="000000"/>
              <w:left w:val="single" w:sz="4" w:space="0" w:color="000000"/>
              <w:bottom w:val="single" w:sz="4" w:space="0" w:color="000000"/>
              <w:right w:val="single" w:sz="4" w:space="0" w:color="000000"/>
            </w:tcBorders>
            <w:vAlign w:val="center"/>
          </w:tcPr>
          <w:p w14:paraId="6E8527B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1444311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20B975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3AB1BC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248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654EEC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System pozwoli na konfigurowanie osób oraz działów uczestniczących w procesie dla danego typu faktury.</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2359AB4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3500869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C0FCD5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1BA677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249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720C95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 wybraniu na danym etapie procesu biznesowego rodzaju/typu faktury System będzie podpowiadał osobę/dział do której powinien zostać skierowany dokument.</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3FD867B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7236945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BB6B4A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45781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51D035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System pozwoli na edycje uprawnień dla danego typu /ścieżki faktury. W systemie musi istnieć konfiguracja pozwalająca na wskazanie możliwości edycji/ usuwania/ dodawania danych na dokumencie na różnych etapach.</w:t>
            </w:r>
          </w:p>
        </w:tc>
        <w:tc>
          <w:tcPr>
            <w:tcW w:w="1246" w:type="dxa"/>
            <w:tcBorders>
              <w:top w:val="single" w:sz="4" w:space="0" w:color="000000"/>
              <w:left w:val="single" w:sz="4" w:space="0" w:color="000000"/>
              <w:bottom w:val="single" w:sz="4" w:space="0" w:color="000000"/>
              <w:right w:val="single" w:sz="4" w:space="0" w:color="000000"/>
            </w:tcBorders>
            <w:vAlign w:val="center"/>
          </w:tcPr>
          <w:p w14:paraId="0516EE0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0748891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CC0316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B3D14EE"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158B30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wybór przez użytkownika w obrębie formularza chęci rejestracji korespondencji na podstawie danych z rejestrowanej faktury. Możliwość rejestrowania faktur przychodzących jednocześnie jako korespondencji przychodzącej bez konieczności wykonywania dodatkowych czynności kancelaryjnych (jednokrotny opis dokumentu).</w:t>
            </w:r>
          </w:p>
        </w:tc>
        <w:tc>
          <w:tcPr>
            <w:tcW w:w="1246" w:type="dxa"/>
            <w:tcBorders>
              <w:top w:val="single" w:sz="4" w:space="0" w:color="000000"/>
              <w:left w:val="single" w:sz="4" w:space="0" w:color="000000"/>
              <w:bottom w:val="single" w:sz="4" w:space="0" w:color="000000"/>
              <w:right w:val="single" w:sz="4" w:space="0" w:color="000000"/>
            </w:tcBorders>
            <w:vAlign w:val="center"/>
          </w:tcPr>
          <w:p w14:paraId="02D8A86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16720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FA9F85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433538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017FAC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podłączenia skanu faktury na podstawie sczytanego kodu kreskowego w oknie rejestracji oraz poprzez załączenie plików z dysku.</w:t>
            </w:r>
          </w:p>
        </w:tc>
        <w:tc>
          <w:tcPr>
            <w:tcW w:w="1246" w:type="dxa"/>
            <w:tcBorders>
              <w:top w:val="single" w:sz="4" w:space="0" w:color="000000"/>
              <w:left w:val="single" w:sz="4" w:space="0" w:color="000000"/>
              <w:bottom w:val="single" w:sz="4" w:space="0" w:color="000000"/>
              <w:right w:val="single" w:sz="4" w:space="0" w:color="000000"/>
            </w:tcBorders>
            <w:vAlign w:val="center"/>
          </w:tcPr>
          <w:p w14:paraId="72FC2F2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1629274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5D23B1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6A8B6CF"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17A0C8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Rejestracja w obrębie teczki faktury wielu załączników.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52403F8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4059663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253FDF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31D6C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090F3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Nadawanie nazw załącznikom w oknie rejestracji dokumentu.</w:t>
            </w:r>
          </w:p>
        </w:tc>
        <w:tc>
          <w:tcPr>
            <w:tcW w:w="1246" w:type="dxa"/>
            <w:tcBorders>
              <w:top w:val="single" w:sz="4" w:space="0" w:color="000000"/>
              <w:left w:val="single" w:sz="4" w:space="0" w:color="000000"/>
              <w:bottom w:val="single" w:sz="4" w:space="0" w:color="000000"/>
              <w:right w:val="single" w:sz="4" w:space="0" w:color="000000"/>
            </w:tcBorders>
            <w:vAlign w:val="center"/>
          </w:tcPr>
          <w:p w14:paraId="729AA90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8962863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0B6B06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B41AC3D"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179880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Rejestracja faktury z wieloma stawkami VAT, w tym VAT strukturalnego.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2E63AB7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9585703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F5D9B3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B9B3F0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CD76E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Dodanie atrybutów opisujących rejestrowany dokument faktury zgodnie z wymaganiami Zamawiającego.</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5E56B4A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2466972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836E8D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17CB4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DDE47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Wyświetlanie podglądów załączników w obrębie okna sprawy faktury. Formaty wymagane przez Zamawiającego to minimum pdf, </w:t>
            </w:r>
            <w:proofErr w:type="spellStart"/>
            <w:r w:rsidRPr="00735AAD">
              <w:rPr>
                <w:rFonts w:ascii="Times New Roman" w:hAnsi="Times New Roman" w:cs="Times New Roman"/>
              </w:rPr>
              <w:t>doc</w:t>
            </w:r>
            <w:proofErr w:type="spellEnd"/>
            <w:r w:rsidRPr="00735AAD">
              <w:rPr>
                <w:rFonts w:ascii="Times New Roman" w:hAnsi="Times New Roman" w:cs="Times New Roman"/>
              </w:rPr>
              <w:t xml:space="preserve">, </w:t>
            </w:r>
            <w:proofErr w:type="spellStart"/>
            <w:r w:rsidRPr="00735AAD">
              <w:rPr>
                <w:rFonts w:ascii="Times New Roman" w:hAnsi="Times New Roman" w:cs="Times New Roman"/>
              </w:rPr>
              <w:t>docx</w:t>
            </w:r>
            <w:proofErr w:type="spellEnd"/>
            <w:r w:rsidRPr="00735AAD">
              <w:rPr>
                <w:rFonts w:ascii="Times New Roman" w:hAnsi="Times New Roman" w:cs="Times New Roman"/>
              </w:rPr>
              <w:t xml:space="preserve">, </w:t>
            </w:r>
            <w:proofErr w:type="spellStart"/>
            <w:r w:rsidRPr="00735AAD">
              <w:rPr>
                <w:rFonts w:ascii="Times New Roman" w:hAnsi="Times New Roman" w:cs="Times New Roman"/>
              </w:rPr>
              <w:t>odt</w:t>
            </w:r>
            <w:proofErr w:type="spellEnd"/>
            <w:r w:rsidRPr="00735AAD">
              <w:rPr>
                <w:rFonts w:ascii="Times New Roman" w:hAnsi="Times New Roman" w:cs="Times New Roman"/>
              </w:rPr>
              <w:t xml:space="preserve">, rtf, jpg, </w:t>
            </w:r>
            <w:proofErr w:type="spellStart"/>
            <w:r w:rsidRPr="00735AAD">
              <w:rPr>
                <w:rFonts w:ascii="Times New Roman" w:hAnsi="Times New Roman" w:cs="Times New Roman"/>
              </w:rPr>
              <w:t>png</w:t>
            </w:r>
            <w:proofErr w:type="spellEnd"/>
            <w:r w:rsidRPr="00735AAD">
              <w:rPr>
                <w:rFonts w:ascii="Times New Roman" w:hAnsi="Times New Roman" w:cs="Times New Roman"/>
              </w:rPr>
              <w:t xml:space="preserve">, </w:t>
            </w:r>
            <w:proofErr w:type="spellStart"/>
            <w:r w:rsidRPr="00735AAD">
              <w:rPr>
                <w:rFonts w:ascii="Times New Roman" w:hAnsi="Times New Roman" w:cs="Times New Roman"/>
              </w:rPr>
              <w:t>tiff</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67919CB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7546621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B2DF5A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8F1BFA"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631358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Podczas rejestracji faktury SEOD musi pozwalać na uruchomienie zamodelowanego procesu biznesowego. </w:t>
            </w:r>
          </w:p>
        </w:tc>
        <w:tc>
          <w:tcPr>
            <w:tcW w:w="1246" w:type="dxa"/>
            <w:tcBorders>
              <w:top w:val="single" w:sz="4" w:space="0" w:color="000000"/>
              <w:left w:val="single" w:sz="4" w:space="0" w:color="000000"/>
              <w:bottom w:val="single" w:sz="4" w:space="0" w:color="000000"/>
              <w:right w:val="single" w:sz="4" w:space="0" w:color="000000"/>
            </w:tcBorders>
            <w:vAlign w:val="center"/>
          </w:tcPr>
          <w:p w14:paraId="28DFC24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0519430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2D09CD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D355D1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259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341CE6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opis merytoryczny zarejestrowanego dokumentu z podziałem na pozycje, kwotę pozycji oraz opis.</w:t>
            </w:r>
          </w:p>
        </w:tc>
        <w:tc>
          <w:tcPr>
            <w:tcW w:w="1246" w:type="dxa"/>
            <w:tcBorders>
              <w:top w:val="single" w:sz="4" w:space="0" w:color="000000"/>
              <w:left w:val="single" w:sz="4" w:space="0" w:color="000000"/>
              <w:bottom w:val="single" w:sz="4" w:space="0" w:color="000000"/>
              <w:right w:val="single" w:sz="4" w:space="0" w:color="000000"/>
            </w:tcBorders>
            <w:vAlign w:val="center"/>
          </w:tcPr>
          <w:p w14:paraId="2E98B12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4600596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9C037F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1E2AD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5D62A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Opis merytoryczny faktury w oparciu o strukturę kont Zamawiającego.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019F5D0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7954610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D0C32C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E2F226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148509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mieć możliwość pobrania struktury kont Zamawiającego.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3E47A18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3893788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83DBEF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805A0E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AFA0A1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opis merytoryczny faktury przez wielu użytkowników jednocześnie w ramach jednej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756113B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7746459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5B4B68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3D3531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D28230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wskazanie osoby odpowiedzialnej za opis merytoryczny innej niż wynikająca z zamodelowanego w SEOD procesu biznesowego.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47D5874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9474707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A7D92A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0CAD77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0B8F78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automatyczne generowanie dodatkowych dokumentów potwierdzających opis merytoryczny do formatu PDF.</w:t>
            </w:r>
          </w:p>
        </w:tc>
        <w:tc>
          <w:tcPr>
            <w:tcW w:w="1246" w:type="dxa"/>
            <w:tcBorders>
              <w:top w:val="single" w:sz="4" w:space="0" w:color="000000"/>
              <w:left w:val="single" w:sz="4" w:space="0" w:color="000000"/>
              <w:bottom w:val="single" w:sz="4" w:space="0" w:color="000000"/>
              <w:right w:val="single" w:sz="4" w:space="0" w:color="000000"/>
            </w:tcBorders>
            <w:vAlign w:val="center"/>
          </w:tcPr>
          <w:p w14:paraId="32FDB7B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7273105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B9B01C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E6F690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31D2E6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Automatycznie generowane dokumenty powinny być załączane bezpośrednio do teczki faktury, z której są generowane.</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3188E3E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379664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9F3B6D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49F533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F47E91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historię akceptacji oraz obiegu dokumentu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64C663E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716300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34B1A0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BA1DBE"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013A80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zarządzenie uprawnieniami dostępu do teczki faktury.</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1D21587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8865433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220A5F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333629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5A8DC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definiowanie konsultacji w obrębie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6DFDF15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457434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132F77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8AFAD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269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3C5362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walidacje kwoty opisu merytorycznego do całkowitej wartości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1FBC987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6727004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71C44B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B4B391D"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270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FDAD49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pozwalać na podgląd danych opisu merytorycznego przez użytkowników zdefiniowanych w procesie biznesowym.</w:t>
            </w:r>
          </w:p>
        </w:tc>
        <w:tc>
          <w:tcPr>
            <w:tcW w:w="1246" w:type="dxa"/>
            <w:tcBorders>
              <w:top w:val="single" w:sz="4" w:space="0" w:color="000000"/>
              <w:left w:val="single" w:sz="4" w:space="0" w:color="000000"/>
              <w:bottom w:val="single" w:sz="4" w:space="0" w:color="000000"/>
              <w:right w:val="single" w:sz="4" w:space="0" w:color="000000"/>
            </w:tcBorders>
            <w:vAlign w:val="center"/>
          </w:tcPr>
          <w:p w14:paraId="1919A00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616413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BB939D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2841D9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271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16FAA7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pozwalać na filtrowanie faktur z określeniem terminu ich płatności. </w:t>
            </w:r>
          </w:p>
        </w:tc>
        <w:tc>
          <w:tcPr>
            <w:tcW w:w="1246" w:type="dxa"/>
            <w:tcBorders>
              <w:top w:val="single" w:sz="4" w:space="0" w:color="000000"/>
              <w:left w:val="single" w:sz="4" w:space="0" w:color="000000"/>
              <w:bottom w:val="single" w:sz="4" w:space="0" w:color="000000"/>
              <w:right w:val="single" w:sz="4" w:space="0" w:color="000000"/>
            </w:tcBorders>
            <w:vAlign w:val="center"/>
          </w:tcPr>
          <w:p w14:paraId="33EB0F5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6288372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A1958B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BED481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lastRenderedPageBreak/>
              <w:t>272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F334B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definiowanie filtrów wyszukiwania zaawansowanego w oparciu o dane zdefiniowane w systemie.</w:t>
            </w:r>
          </w:p>
        </w:tc>
        <w:tc>
          <w:tcPr>
            <w:tcW w:w="1246" w:type="dxa"/>
            <w:tcBorders>
              <w:top w:val="single" w:sz="4" w:space="0" w:color="000000"/>
              <w:left w:val="single" w:sz="4" w:space="0" w:color="000000"/>
              <w:bottom w:val="single" w:sz="4" w:space="0" w:color="000000"/>
              <w:right w:val="single" w:sz="4" w:space="0" w:color="000000"/>
            </w:tcBorders>
            <w:vAlign w:val="center"/>
          </w:tcPr>
          <w:p w14:paraId="753AC15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5961673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CECDEB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96E34F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273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3F377B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Generowanie raportów do formatu PDF na podstawie danych zdefiniowanych w filtrowaniu przez użytkownika Systemu.</w:t>
            </w:r>
          </w:p>
        </w:tc>
        <w:tc>
          <w:tcPr>
            <w:tcW w:w="1246" w:type="dxa"/>
            <w:tcBorders>
              <w:top w:val="single" w:sz="4" w:space="0" w:color="000000"/>
              <w:left w:val="single" w:sz="4" w:space="0" w:color="000000"/>
              <w:bottom w:val="single" w:sz="4" w:space="0" w:color="000000"/>
              <w:right w:val="single" w:sz="4" w:space="0" w:color="000000"/>
            </w:tcBorders>
            <w:vAlign w:val="center"/>
          </w:tcPr>
          <w:p w14:paraId="6E44B55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3567126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EB546F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628B061"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274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2033EE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System umożliwi generowanie metryki dokumentu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3191BAB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0056876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63C7BA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71347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275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0F5DFC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w ramach danego typu faktury musi pozwalać na zdefiniowanie danych metryki (wydruku obiegu wraz z opisem merytorycznym, dekretami oraz danymi nagłówkowymi dokumentu).</w:t>
            </w:r>
          </w:p>
        </w:tc>
        <w:tc>
          <w:tcPr>
            <w:tcW w:w="1246" w:type="dxa"/>
            <w:tcBorders>
              <w:top w:val="single" w:sz="4" w:space="0" w:color="000000"/>
              <w:left w:val="single" w:sz="4" w:space="0" w:color="000000"/>
              <w:bottom w:val="single" w:sz="4" w:space="0" w:color="000000"/>
              <w:right w:val="single" w:sz="4" w:space="0" w:color="000000"/>
            </w:tcBorders>
            <w:vAlign w:val="center"/>
          </w:tcPr>
          <w:p w14:paraId="039640B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88255016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6C7D36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96075B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276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4916C6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System pozwoli na konfigurację jakie pola opisu merytorycznego mają znaleźć się na wydruku. </w:t>
            </w:r>
          </w:p>
        </w:tc>
        <w:tc>
          <w:tcPr>
            <w:tcW w:w="1246" w:type="dxa"/>
            <w:tcBorders>
              <w:top w:val="single" w:sz="4" w:space="0" w:color="000000"/>
              <w:left w:val="single" w:sz="4" w:space="0" w:color="000000"/>
              <w:bottom w:val="single" w:sz="4" w:space="0" w:color="000000"/>
              <w:right w:val="single" w:sz="4" w:space="0" w:color="000000"/>
            </w:tcBorders>
            <w:vAlign w:val="center"/>
          </w:tcPr>
          <w:p w14:paraId="29F7E98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5790910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114B39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B055EE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277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816608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Generowanie rejestru faktur do formatu PDF wraz z informacjami o miejscu przechowywania oraz osobami akceptującymi fakturę w procesie. </w:t>
            </w:r>
          </w:p>
        </w:tc>
        <w:tc>
          <w:tcPr>
            <w:tcW w:w="1246" w:type="dxa"/>
            <w:tcBorders>
              <w:top w:val="single" w:sz="4" w:space="0" w:color="000000"/>
              <w:left w:val="single" w:sz="4" w:space="0" w:color="000000"/>
              <w:bottom w:val="single" w:sz="4" w:space="0" w:color="000000"/>
              <w:right w:val="single" w:sz="4" w:space="0" w:color="000000"/>
            </w:tcBorders>
            <w:vAlign w:val="center"/>
          </w:tcPr>
          <w:p w14:paraId="0D8276D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8237250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D6A893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23ACA9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278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47B3D8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Tworzenie zestawień na postawie opisów merytorycznych oraz MPK.</w:t>
            </w:r>
          </w:p>
        </w:tc>
        <w:tc>
          <w:tcPr>
            <w:tcW w:w="1246" w:type="dxa"/>
            <w:tcBorders>
              <w:top w:val="single" w:sz="4" w:space="0" w:color="000000"/>
              <w:left w:val="single" w:sz="4" w:space="0" w:color="000000"/>
              <w:bottom w:val="single" w:sz="4" w:space="0" w:color="000000"/>
              <w:right w:val="single" w:sz="4" w:space="0" w:color="000000"/>
            </w:tcBorders>
            <w:vAlign w:val="center"/>
          </w:tcPr>
          <w:p w14:paraId="16F3435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5709033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4BD401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1FCAF1"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279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DB95AF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Łączenie faktury z innym dokumentem zarejestrowanym w systemie.</w:t>
            </w:r>
          </w:p>
        </w:tc>
        <w:tc>
          <w:tcPr>
            <w:tcW w:w="1246" w:type="dxa"/>
            <w:tcBorders>
              <w:top w:val="single" w:sz="4" w:space="0" w:color="000000"/>
              <w:left w:val="single" w:sz="4" w:space="0" w:color="000000"/>
              <w:bottom w:val="single" w:sz="4" w:space="0" w:color="000000"/>
              <w:right w:val="single" w:sz="4" w:space="0" w:color="000000"/>
            </w:tcBorders>
            <w:vAlign w:val="center"/>
          </w:tcPr>
          <w:p w14:paraId="6AE3804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0778141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BCE66A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B50AEF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154EFD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prowadzenia zgodnego z prawem rejestru e-faktur – rejestrowanie dokumentów elektronicznych przesyłanych na adres e-mail.</w:t>
            </w:r>
          </w:p>
        </w:tc>
        <w:tc>
          <w:tcPr>
            <w:tcW w:w="1246" w:type="dxa"/>
            <w:tcBorders>
              <w:top w:val="single" w:sz="4" w:space="0" w:color="000000"/>
              <w:left w:val="single" w:sz="4" w:space="0" w:color="000000"/>
              <w:bottom w:val="single" w:sz="4" w:space="0" w:color="000000"/>
              <w:right w:val="single" w:sz="4" w:space="0" w:color="000000"/>
            </w:tcBorders>
            <w:vAlign w:val="center"/>
          </w:tcPr>
          <w:p w14:paraId="7281776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0168027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87EF1B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453CB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337BBF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rozpisywania kosztów na fakturze na wiele miejsc powstawania kosztów.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4C3280A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4335779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733CFF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90BF24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A59ED0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analizy (filtrowanie, grupowanie i agregacja) kosztów rozpisanych na fakturach według użytych wymiarów.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16E7D71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2854029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16BAA5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BD460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D34C04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Możliwość eksportu rejestrów kosztów do plików xls.</w:t>
            </w:r>
          </w:p>
        </w:tc>
        <w:tc>
          <w:tcPr>
            <w:tcW w:w="1246" w:type="dxa"/>
            <w:tcBorders>
              <w:top w:val="single" w:sz="4" w:space="0" w:color="000000"/>
              <w:left w:val="single" w:sz="4" w:space="0" w:color="000000"/>
              <w:bottom w:val="single" w:sz="4" w:space="0" w:color="000000"/>
              <w:right w:val="single" w:sz="4" w:space="0" w:color="000000"/>
            </w:tcBorders>
            <w:vAlign w:val="center"/>
          </w:tcPr>
          <w:p w14:paraId="1BC14B1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3581630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D2BBE7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A71DF4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D8ECE2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Definiowanie wielu szablonów kosztowych, które definiują algorytm rozdzielania kosztu na poszczególne centra kosztowe według związanej z nimi wartości podzielnika na etapie opisu merytorycznego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6A878CA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632236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777626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236558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97C4A1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zdefiniowanie szablonów kwotowych i/lub procentowych, wykorzystywanych na etapie opisu merytorycznego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70339F6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3567235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187A92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A07BD01"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5EA74D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zapisywanie podzielników kosztowych umożliwiających opis merytoryczny faktury w postaci „szablonów” nakładanych na fakturę, tworzonych przez poszczególnych użytkowników.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6E90BBF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7515669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62BC2C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C702C0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6560EF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nałożenie kilku „szablonów” na fakturę na etapie opisu merytorycznego faktury, przy czym kolejny szablon musi dzielić koszty z nierozliczonej wartości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6E88EE5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9916281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84A5FB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DBA02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F9C1F4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zdefiniowanie wartości podzielników dla każdego rodzaju podzielnika dla każdego centrum kosztowego, które będą wykorzystywane na etapie opisu merytorycznego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1368031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6100188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04DC96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846E6B0"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289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30CEDC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na etapie opisu merytorycznego wykorzystanie wcześniej zdefiniowanego podzielnika. Po wybraniu podzielnika SEOD musi automatycznie tworzyć dekrety kosztowe na poszczególne miejsca powstawania kosztów, dla których podzielnik jest zdefiniowany.</w:t>
            </w:r>
          </w:p>
        </w:tc>
        <w:tc>
          <w:tcPr>
            <w:tcW w:w="1246" w:type="dxa"/>
            <w:tcBorders>
              <w:top w:val="single" w:sz="4" w:space="0" w:color="000000"/>
              <w:left w:val="single" w:sz="4" w:space="0" w:color="000000"/>
              <w:bottom w:val="single" w:sz="4" w:space="0" w:color="000000"/>
              <w:right w:val="single" w:sz="4" w:space="0" w:color="000000"/>
            </w:tcBorders>
            <w:vAlign w:val="center"/>
          </w:tcPr>
          <w:p w14:paraId="320A4D8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3980973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BAC4EC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335451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290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DA7A1A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umożliwić zapamiętywanie opisu merytorycznego wykonanego dla danego kontrahenta przy opisywaniu faktury. Opis merytoryczny powinien zawierać parametry wykorzystane do opisu faktury, w tym co najmniej: konta OPK/MPK - wybierane ze słownika, konta rodzajowe - wybierane ze słownika i opcjonalnie w zależności od decyzji użytkownika kwoty opisu merytorycznego. Przy zadekretowaniu kolejnej faktury od tego samego kontrahenta na etapie opisu merytorycznego musi pojawiać się wcześniej zapamiętany opis merytoryczny.</w:t>
            </w:r>
          </w:p>
        </w:tc>
        <w:tc>
          <w:tcPr>
            <w:tcW w:w="1246" w:type="dxa"/>
            <w:tcBorders>
              <w:top w:val="single" w:sz="4" w:space="0" w:color="000000"/>
              <w:left w:val="single" w:sz="4" w:space="0" w:color="000000"/>
              <w:bottom w:val="single" w:sz="4" w:space="0" w:color="000000"/>
              <w:right w:val="single" w:sz="4" w:space="0" w:color="000000"/>
            </w:tcBorders>
            <w:vAlign w:val="center"/>
          </w:tcPr>
          <w:p w14:paraId="62F13C8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0917736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813FF8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57F20D"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291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4EDC5E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Podczas rejestracji dokumentu faktury musi istnieć powiązanie wybranej ścieżki obiegu (typu faktury) z danym kontrahentem. Przy rejestracji kolejnej faktury od tego samego kontrahenta zapamiętana ścieżka obiegu musi podpowiadać się automatycznie.</w:t>
            </w:r>
          </w:p>
        </w:tc>
        <w:tc>
          <w:tcPr>
            <w:tcW w:w="1246" w:type="dxa"/>
            <w:tcBorders>
              <w:top w:val="single" w:sz="4" w:space="0" w:color="000000"/>
              <w:left w:val="single" w:sz="4" w:space="0" w:color="000000"/>
              <w:bottom w:val="single" w:sz="4" w:space="0" w:color="000000"/>
              <w:right w:val="single" w:sz="4" w:space="0" w:color="000000"/>
            </w:tcBorders>
            <w:vAlign w:val="center"/>
          </w:tcPr>
          <w:p w14:paraId="40CEC97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8161828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3A6C0E9"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123E85FC"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Platforma Elektronicznego Fakturowania</w:t>
            </w:r>
          </w:p>
        </w:tc>
      </w:tr>
      <w:tr w:rsidR="00735AAD" w:rsidRPr="00735AAD" w14:paraId="5408198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F434C2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292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3CCBBF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Automatyczne, cykliczne pobieranie faktur z platformy Elektronicznego </w:t>
            </w:r>
            <w:r w:rsidRPr="00735AAD">
              <w:rPr>
                <w:rFonts w:ascii="Times New Roman" w:hAnsi="Times New Roman" w:cs="Times New Roman"/>
              </w:rPr>
              <w:lastRenderedPageBreak/>
              <w:t>Fakturowania w ramach posiadanych przez Zamawiającego kont.</w:t>
            </w:r>
          </w:p>
        </w:tc>
        <w:tc>
          <w:tcPr>
            <w:tcW w:w="1246" w:type="dxa"/>
            <w:tcBorders>
              <w:top w:val="single" w:sz="4" w:space="0" w:color="000000"/>
              <w:left w:val="single" w:sz="4" w:space="0" w:color="000000"/>
              <w:bottom w:val="single" w:sz="4" w:space="0" w:color="000000"/>
              <w:right w:val="single" w:sz="4" w:space="0" w:color="000000"/>
            </w:tcBorders>
            <w:vAlign w:val="center"/>
          </w:tcPr>
          <w:p w14:paraId="2054107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9870416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C50596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5C8B67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lastRenderedPageBreak/>
              <w:t>293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00C222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Mapowanie pól z PEF na pola na formularzu rejestracji faktury zdefiniowane w SEOD.</w:t>
            </w:r>
          </w:p>
        </w:tc>
        <w:tc>
          <w:tcPr>
            <w:tcW w:w="1246" w:type="dxa"/>
            <w:tcBorders>
              <w:top w:val="single" w:sz="4" w:space="0" w:color="000000"/>
              <w:left w:val="single" w:sz="4" w:space="0" w:color="000000"/>
              <w:bottom w:val="single" w:sz="4" w:space="0" w:color="000000"/>
              <w:right w:val="single" w:sz="4" w:space="0" w:color="000000"/>
            </w:tcBorders>
            <w:vAlign w:val="center"/>
          </w:tcPr>
          <w:p w14:paraId="3C87443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1800342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A278EA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182AE7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294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D6AFFB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po pobraniu faktury z platformy PEF musi mieć możliwość przypisania zmapowanych pól do formularza rejestracji faktury w SEOD i pozwalać na rejestrację dokumentu bez zbędnego przepisywania danych.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7CE0E11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7255161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0B76E3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99C84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295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8A563E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automatycznie generować podgląd dokumentu faktury w formacie PDF na podstawie danych pobranych z platformy PEF, o ile taki nie został dodany jako załącznik.</w:t>
            </w:r>
          </w:p>
        </w:tc>
        <w:tc>
          <w:tcPr>
            <w:tcW w:w="1246" w:type="dxa"/>
            <w:tcBorders>
              <w:top w:val="single" w:sz="4" w:space="0" w:color="000000"/>
              <w:left w:val="single" w:sz="4" w:space="0" w:color="000000"/>
              <w:bottom w:val="single" w:sz="4" w:space="0" w:color="000000"/>
              <w:right w:val="single" w:sz="4" w:space="0" w:color="000000"/>
            </w:tcBorders>
            <w:vAlign w:val="center"/>
          </w:tcPr>
          <w:p w14:paraId="3BF63E0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3406988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E537F4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0BE04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296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AA751A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Pobieranie w ramach danej faktury wszystkich załączników dodanych do dokumentów faktury pobieranej z platformy PEF.</w:t>
            </w:r>
          </w:p>
        </w:tc>
        <w:tc>
          <w:tcPr>
            <w:tcW w:w="1246" w:type="dxa"/>
            <w:tcBorders>
              <w:top w:val="single" w:sz="4" w:space="0" w:color="000000"/>
              <w:left w:val="single" w:sz="4" w:space="0" w:color="000000"/>
              <w:bottom w:val="single" w:sz="4" w:space="0" w:color="000000"/>
              <w:right w:val="single" w:sz="4" w:space="0" w:color="000000"/>
            </w:tcBorders>
            <w:vAlign w:val="center"/>
          </w:tcPr>
          <w:p w14:paraId="4FF4D31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6504845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C0B2C8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447E4FF"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297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28E8A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W ramach integracji z PEF SEOD musi pozwalać na obsługę każdej z udostępnianych platform przez brokerów usługi.</w:t>
            </w:r>
          </w:p>
        </w:tc>
        <w:tc>
          <w:tcPr>
            <w:tcW w:w="1246" w:type="dxa"/>
            <w:tcBorders>
              <w:top w:val="single" w:sz="4" w:space="0" w:color="000000"/>
              <w:left w:val="single" w:sz="4" w:space="0" w:color="000000"/>
              <w:bottom w:val="single" w:sz="4" w:space="0" w:color="000000"/>
              <w:right w:val="single" w:sz="4" w:space="0" w:color="000000"/>
            </w:tcBorders>
            <w:vAlign w:val="center"/>
          </w:tcPr>
          <w:p w14:paraId="7D72E6B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1896265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A15E8D6"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13B88D6A"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Krajowy System e-Faktur</w:t>
            </w:r>
          </w:p>
        </w:tc>
      </w:tr>
      <w:tr w:rsidR="00735AAD" w:rsidRPr="00735AAD" w14:paraId="2EABECD0"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5921E9A"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298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1ACD10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Automatyczne, cykliczne pobieranie faktur z Krajowego Systemu e-Faktur w ramach posiadanych przez Zamawiającego kont.</w:t>
            </w:r>
          </w:p>
        </w:tc>
        <w:tc>
          <w:tcPr>
            <w:tcW w:w="1246" w:type="dxa"/>
            <w:tcBorders>
              <w:top w:val="single" w:sz="4" w:space="0" w:color="000000"/>
              <w:left w:val="single" w:sz="4" w:space="0" w:color="000000"/>
              <w:bottom w:val="single" w:sz="4" w:space="0" w:color="000000"/>
              <w:right w:val="single" w:sz="4" w:space="0" w:color="000000"/>
            </w:tcBorders>
            <w:vAlign w:val="center"/>
          </w:tcPr>
          <w:p w14:paraId="0DDB3C7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4071779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1D5188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4A8AEE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299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64A5E0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Mapowanie pól z Krajowego Systemu e-Faktur na pola na formularzu rejestracji faktury zdefiniowane w SEOD.</w:t>
            </w:r>
          </w:p>
        </w:tc>
        <w:tc>
          <w:tcPr>
            <w:tcW w:w="1246" w:type="dxa"/>
            <w:tcBorders>
              <w:top w:val="single" w:sz="4" w:space="0" w:color="000000"/>
              <w:left w:val="single" w:sz="4" w:space="0" w:color="000000"/>
              <w:bottom w:val="single" w:sz="4" w:space="0" w:color="000000"/>
              <w:right w:val="single" w:sz="4" w:space="0" w:color="000000"/>
            </w:tcBorders>
            <w:vAlign w:val="center"/>
          </w:tcPr>
          <w:p w14:paraId="0E0646C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8178575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5D6FBD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71AD8A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BF6177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po pobraniu faktury z Krajowego Systemu e-Faktur musi mieć możliwość przypisania zmapowanych pól do formularza rejestracji faktury w SEOD i pozwalać na rejestrację dokumentu bez zbędnego przepisywania danych.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1AEF352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99893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FF9C6D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388962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9F4A28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automatycznie generować podgląd dokumentu faktury w formacie PDF na podstawie danych pobranych z Krajowego Systemu e-Faktur, o ile taki nie został dodany jako załącznik.</w:t>
            </w:r>
          </w:p>
        </w:tc>
        <w:tc>
          <w:tcPr>
            <w:tcW w:w="1246" w:type="dxa"/>
            <w:tcBorders>
              <w:top w:val="single" w:sz="4" w:space="0" w:color="000000"/>
              <w:left w:val="single" w:sz="4" w:space="0" w:color="000000"/>
              <w:bottom w:val="single" w:sz="4" w:space="0" w:color="000000"/>
              <w:right w:val="single" w:sz="4" w:space="0" w:color="000000"/>
            </w:tcBorders>
            <w:vAlign w:val="center"/>
          </w:tcPr>
          <w:p w14:paraId="290C829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10109583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BC734D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C4F3CD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6DCF5A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Pobieranie w ramach danej faktury wszystkich załączników dodanych do dokumentów faktury pobieranej z Krajowego Systemu e-Faktur.</w:t>
            </w:r>
          </w:p>
        </w:tc>
        <w:tc>
          <w:tcPr>
            <w:tcW w:w="1246" w:type="dxa"/>
            <w:tcBorders>
              <w:top w:val="single" w:sz="4" w:space="0" w:color="000000"/>
              <w:left w:val="single" w:sz="4" w:space="0" w:color="000000"/>
              <w:bottom w:val="single" w:sz="4" w:space="0" w:color="000000"/>
              <w:right w:val="single" w:sz="4" w:space="0" w:color="000000"/>
            </w:tcBorders>
            <w:vAlign w:val="center"/>
          </w:tcPr>
          <w:p w14:paraId="75C96F7E"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0558586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355C340"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34426CD4"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OCR faktur</w:t>
            </w:r>
          </w:p>
        </w:tc>
      </w:tr>
      <w:tr w:rsidR="00735AAD" w:rsidRPr="00735AAD" w14:paraId="6BB7812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C305DF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691C657"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wbudowany mechanizm OCR. Niedopuszczalne jest integrowanie zewnętrznych narzędzi do OCR-</w:t>
            </w:r>
            <w:proofErr w:type="spellStart"/>
            <w:r w:rsidRPr="00735AAD">
              <w:rPr>
                <w:rFonts w:ascii="Times New Roman" w:hAnsi="Times New Roman" w:cs="Times New Roman"/>
              </w:rPr>
              <w:t>owania</w:t>
            </w:r>
            <w:proofErr w:type="spellEnd"/>
            <w:r w:rsidRPr="00735AAD">
              <w:rPr>
                <w:rFonts w:ascii="Times New Roman" w:hAnsi="Times New Roman" w:cs="Times New Roman"/>
              </w:rPr>
              <w:t xml:space="preserve"> dokumentów.</w:t>
            </w:r>
          </w:p>
        </w:tc>
        <w:tc>
          <w:tcPr>
            <w:tcW w:w="1246" w:type="dxa"/>
            <w:tcBorders>
              <w:top w:val="single" w:sz="4" w:space="0" w:color="000000"/>
              <w:left w:val="single" w:sz="4" w:space="0" w:color="000000"/>
              <w:bottom w:val="single" w:sz="4" w:space="0" w:color="000000"/>
              <w:right w:val="single" w:sz="4" w:space="0" w:color="000000"/>
            </w:tcBorders>
            <w:vAlign w:val="center"/>
          </w:tcPr>
          <w:p w14:paraId="4172C9E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93527510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39E0DF1"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E2626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E6BE5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Automatyczne rozpoznawanie informacji na dokumencie, jeśli podobny dokument był już wcześniej przetwarzany za pomocą mechanizmów OCR.</w:t>
            </w:r>
          </w:p>
        </w:tc>
        <w:tc>
          <w:tcPr>
            <w:tcW w:w="1246" w:type="dxa"/>
            <w:tcBorders>
              <w:top w:val="single" w:sz="4" w:space="0" w:color="000000"/>
              <w:left w:val="single" w:sz="4" w:space="0" w:color="000000"/>
              <w:bottom w:val="single" w:sz="4" w:space="0" w:color="000000"/>
              <w:right w:val="single" w:sz="4" w:space="0" w:color="000000"/>
            </w:tcBorders>
            <w:vAlign w:val="center"/>
          </w:tcPr>
          <w:p w14:paraId="3B21329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9862375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03FB79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189968A"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6610A9D"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Mechanizm OCR  musi umożliwiać  automatyczny odczyt danych z faktury typu nazwa kontrahenta, nr faktury, data wystawienia, terminy, stawki VAT, podsumowanie stawek, rodzaj płatności.</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03E12B1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0794550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2174B1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734E0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D85870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po odczytaniu danych mechanizmem OCR powinien wprowadzić je w formularz rejestracji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06994C78"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8485213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FCCD66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2A7C337"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8F8C80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w oknie rejestracji skorzystanie z tzw. kontekstowego OCR (zaznaczenie pola na dokumencie oraz przypisanie rozpoznanego tekstu do pola na formularzu wybranego przez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0B1DC2F5"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4361684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D4A2AB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049ACAB"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571FD0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powinien na podstawie numeru NIP odczytanego z dokumentu przy pomocy mechanizmu OCR automatycznie założyć kontrahenta w systemie, pobierając dane z bazy REGON GUS.</w:t>
            </w:r>
            <w:r w:rsidRPr="00735AAD">
              <w:rPr>
                <w:rFonts w:ascii="Times New Roman" w:eastAsia="Times New Roman" w:hAnsi="Times New Roman" w:cs="Times New Roman"/>
                <w:sz w:val="20"/>
                <w:szCs w:val="20"/>
                <w:lang w:eastAsia="pl-PL"/>
              </w:rPr>
              <w:t xml:space="preserve">  </w:t>
            </w:r>
          </w:p>
        </w:tc>
        <w:tc>
          <w:tcPr>
            <w:tcW w:w="1246" w:type="dxa"/>
            <w:tcBorders>
              <w:top w:val="single" w:sz="4" w:space="0" w:color="000000"/>
              <w:left w:val="single" w:sz="4" w:space="0" w:color="000000"/>
              <w:bottom w:val="single" w:sz="4" w:space="0" w:color="000000"/>
              <w:right w:val="single" w:sz="4" w:space="0" w:color="000000"/>
            </w:tcBorders>
            <w:vAlign w:val="center"/>
          </w:tcPr>
          <w:p w14:paraId="6103E3E1"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9172515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AC54F9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156AC77"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309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5232B6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powinien weryfikować kontrahenta z białą listą podatników VAT po odczytaniu danych kontrahenta z faktury mechanizmem OCR (podczas jej rejestracji).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3143A2B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9272996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3EDDD9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E8A63C3"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310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E2213DF"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posiadać mechanizm uczenia się odczytywania nierozpoznanych dokumentów przez mechanizm OCR. Uprawnione osoby powinny posiadać funkcję oznaczania nierozpoznanych dokumentów przez OCR.</w:t>
            </w:r>
          </w:p>
        </w:tc>
        <w:tc>
          <w:tcPr>
            <w:tcW w:w="1246" w:type="dxa"/>
            <w:tcBorders>
              <w:top w:val="single" w:sz="4" w:space="0" w:color="000000"/>
              <w:left w:val="single" w:sz="4" w:space="0" w:color="000000"/>
              <w:bottom w:val="single" w:sz="4" w:space="0" w:color="000000"/>
              <w:right w:val="single" w:sz="4" w:space="0" w:color="000000"/>
            </w:tcBorders>
            <w:vAlign w:val="center"/>
          </w:tcPr>
          <w:p w14:paraId="6C61184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6671799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ABBBF72"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75BF7A7"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311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E3881C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Mechanizm uczenia powinien być oparty na możliwości manualnego wskazania wartości z obrazu faktury i przyporządkowaniu im odpowiednich pól z okna rejestracji.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38D8A84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4931795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2DC0244"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3FAC5F97"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lastRenderedPageBreak/>
              <w:t xml:space="preserve">Integracja z systemem </w:t>
            </w:r>
            <w:proofErr w:type="spellStart"/>
            <w:r w:rsidRPr="00735AAD">
              <w:rPr>
                <w:rFonts w:ascii="Times New Roman" w:hAnsi="Times New Roman" w:cs="Times New Roman"/>
                <w:b/>
              </w:rPr>
              <w:t>Infomedica</w:t>
            </w:r>
            <w:proofErr w:type="spellEnd"/>
          </w:p>
        </w:tc>
      </w:tr>
      <w:tr w:rsidR="00735AAD" w:rsidRPr="00735AAD" w14:paraId="1C945C8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D4FBF72"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312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577062F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należy zintegrować z posiadanym przez Zamawiającego systemem ERP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firmy Asseco Poland SA.</w:t>
            </w:r>
          </w:p>
        </w:tc>
        <w:tc>
          <w:tcPr>
            <w:tcW w:w="1246" w:type="dxa"/>
            <w:tcBorders>
              <w:top w:val="single" w:sz="4" w:space="0" w:color="000000"/>
              <w:left w:val="single" w:sz="4" w:space="0" w:color="000000"/>
              <w:bottom w:val="single" w:sz="4" w:space="0" w:color="000000"/>
              <w:right w:val="single" w:sz="4" w:space="0" w:color="000000"/>
            </w:tcBorders>
            <w:vAlign w:val="center"/>
          </w:tcPr>
          <w:p w14:paraId="0D915C7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4643508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7785A0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2AE7C17"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313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7ADB380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Integracja musi umożliwiać pobieranie do SEOD danych dotyczących kontrahentów założonych oraz zakładanych w systemie </w:t>
            </w:r>
            <w:proofErr w:type="spellStart"/>
            <w:r w:rsidRPr="00735AAD">
              <w:rPr>
                <w:rFonts w:ascii="Times New Roman" w:hAnsi="Times New Roman" w:cs="Times New Roman"/>
              </w:rPr>
              <w:t>Infomedica</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47021F5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0044382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3DFD892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2315E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314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200B80A8"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Integracja musi umożliwiać pobieranie do SEOD typów dokumentów/rejestrów kosztowych poprzez udostępniony przez system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widok bazodanowy zawierający informację o rejestrach dokumentów źródłowych (importowych) skonfigurowanych w systemie </w:t>
            </w:r>
            <w:proofErr w:type="spellStart"/>
            <w:r w:rsidRPr="00735AAD">
              <w:rPr>
                <w:rFonts w:ascii="Times New Roman" w:hAnsi="Times New Roman" w:cs="Times New Roman"/>
              </w:rPr>
              <w:t>Infomedica</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745362A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67375719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AA9A9D9"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2834BD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315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4201A3E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Integracja musi umożliwiać pobieranie do SEOD stopni rozksięgowań/opisu merytorycznego/szablonu dekretacji/kont analitycznych poprzez udostępnione przez system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widoki bazodanowe zawierające informację o kosztowych kluczach podziału oraz o wartości poszczególnych kluczy dla ośrodków powstawania kosztów skonfigurowanych w systemie </w:t>
            </w:r>
            <w:proofErr w:type="spellStart"/>
            <w:r w:rsidRPr="00735AAD">
              <w:rPr>
                <w:rFonts w:ascii="Times New Roman" w:hAnsi="Times New Roman" w:cs="Times New Roman"/>
              </w:rPr>
              <w:t>Infomedica</w:t>
            </w:r>
            <w:proofErr w:type="spellEnd"/>
            <w:r w:rsidRPr="00735AAD">
              <w:rPr>
                <w:rFonts w:ascii="Times New Roman" w:hAnsi="Times New Roman" w:cs="Times New Roman"/>
              </w:rPr>
              <w:t>.</w:t>
            </w:r>
          </w:p>
        </w:tc>
        <w:tc>
          <w:tcPr>
            <w:tcW w:w="1246" w:type="dxa"/>
            <w:tcBorders>
              <w:top w:val="single" w:sz="4" w:space="0" w:color="000000"/>
              <w:left w:val="single" w:sz="4" w:space="0" w:color="000000"/>
              <w:bottom w:val="single" w:sz="4" w:space="0" w:color="000000"/>
              <w:right w:val="single" w:sz="4" w:space="0" w:color="000000"/>
            </w:tcBorders>
            <w:vAlign w:val="center"/>
          </w:tcPr>
          <w:p w14:paraId="53F9366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4260730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0333AA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E5B0C9"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316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7BBC0FB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Integracja musi umożliwiać pobieranie do SEOD stawek VAT.</w:t>
            </w:r>
          </w:p>
        </w:tc>
        <w:tc>
          <w:tcPr>
            <w:tcW w:w="1246" w:type="dxa"/>
            <w:tcBorders>
              <w:top w:val="single" w:sz="4" w:space="0" w:color="000000"/>
              <w:left w:val="single" w:sz="4" w:space="0" w:color="000000"/>
              <w:bottom w:val="single" w:sz="4" w:space="0" w:color="000000"/>
              <w:right w:val="single" w:sz="4" w:space="0" w:color="000000"/>
            </w:tcBorders>
            <w:vAlign w:val="center"/>
          </w:tcPr>
          <w:p w14:paraId="78B4EE9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0697505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A76C34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85EF4DC"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317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4DE478F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Integracja musi umożliwiać pobieranie do SEOD okresów księgowych.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510225F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3199329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59C3EE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92E5921"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318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221E14C4"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Integracja musi umożliwiać pobieranie do SEOD kluczy podziału utworzonych w systemie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poprzez udostępniony przez system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widok bazodanowy zawierający informację o nazwie klucza oraz schematach podziału do niego przypisanych.</w:t>
            </w:r>
          </w:p>
        </w:tc>
        <w:tc>
          <w:tcPr>
            <w:tcW w:w="1246" w:type="dxa"/>
            <w:tcBorders>
              <w:top w:val="single" w:sz="4" w:space="0" w:color="000000"/>
              <w:left w:val="single" w:sz="4" w:space="0" w:color="000000"/>
              <w:bottom w:val="single" w:sz="4" w:space="0" w:color="000000"/>
              <w:right w:val="single" w:sz="4" w:space="0" w:color="000000"/>
            </w:tcBorders>
            <w:vAlign w:val="center"/>
          </w:tcPr>
          <w:p w14:paraId="770F6B8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4050686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18D63D3"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6270F18"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319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537AF55E"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Integracja musi umożliwiać wysyłanie do systemu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merytorycznie opisanego kontami analitycznymi dokumentu wraz z podsumowaniem stawek VAT całego dokumentu oraz umieszczenie dokumentu kosztowego w odpowiednim rejestrze finansowo księgowym.</w:t>
            </w:r>
          </w:p>
        </w:tc>
        <w:tc>
          <w:tcPr>
            <w:tcW w:w="1246" w:type="dxa"/>
            <w:tcBorders>
              <w:top w:val="single" w:sz="4" w:space="0" w:color="000000"/>
              <w:left w:val="single" w:sz="4" w:space="0" w:color="000000"/>
              <w:bottom w:val="single" w:sz="4" w:space="0" w:color="000000"/>
              <w:right w:val="single" w:sz="4" w:space="0" w:color="000000"/>
            </w:tcBorders>
            <w:vAlign w:val="center"/>
          </w:tcPr>
          <w:p w14:paraId="2F23F57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74186596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789899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83B5DF4"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320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189064B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Integracja musi umożliwiać przesyłanie do systemu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opisu merytorycznego dokumentu kosztowego w postaci wstępnie zadekretowanej na konkretne konta księgowe wraz z linkiem do dokumentu kosztowego w SEOD.</w:t>
            </w:r>
          </w:p>
        </w:tc>
        <w:tc>
          <w:tcPr>
            <w:tcW w:w="1246" w:type="dxa"/>
            <w:tcBorders>
              <w:top w:val="single" w:sz="4" w:space="0" w:color="000000"/>
              <w:left w:val="single" w:sz="4" w:space="0" w:color="000000"/>
              <w:bottom w:val="single" w:sz="4" w:space="0" w:color="000000"/>
              <w:right w:val="single" w:sz="4" w:space="0" w:color="000000"/>
            </w:tcBorders>
            <w:vAlign w:val="center"/>
          </w:tcPr>
          <w:p w14:paraId="76745263"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51126202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57CC52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2712A5F"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321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6A734C4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Integracja musi umożliwiać przekazanie dokumentu faktury w dwóch częściach do systemu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 jednej dotyczącej dokumentu VAT oraz drugiej związanej z opisem merytorycznym. SEOD powinien wspierać możliwość wysyłania zarówno jednej wybranej części, jak i obu jednocześnie.</w:t>
            </w:r>
          </w:p>
        </w:tc>
        <w:tc>
          <w:tcPr>
            <w:tcW w:w="1246" w:type="dxa"/>
            <w:tcBorders>
              <w:top w:val="single" w:sz="4" w:space="0" w:color="000000"/>
              <w:left w:val="single" w:sz="4" w:space="0" w:color="000000"/>
              <w:bottom w:val="single" w:sz="4" w:space="0" w:color="000000"/>
              <w:right w:val="single" w:sz="4" w:space="0" w:color="000000"/>
            </w:tcBorders>
            <w:vAlign w:val="center"/>
          </w:tcPr>
          <w:p w14:paraId="64427B30"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0472566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F9AAFF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EA3D4B6"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322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6E2433C3"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komunikować przekazanie dokumentu kosztowego do systemu ERP oraz pozostawić informacje o dacie przekazania.</w:t>
            </w:r>
          </w:p>
        </w:tc>
        <w:tc>
          <w:tcPr>
            <w:tcW w:w="1246" w:type="dxa"/>
            <w:tcBorders>
              <w:top w:val="single" w:sz="4" w:space="0" w:color="000000"/>
              <w:left w:val="single" w:sz="4" w:space="0" w:color="000000"/>
              <w:bottom w:val="single" w:sz="4" w:space="0" w:color="000000"/>
              <w:right w:val="single" w:sz="4" w:space="0" w:color="000000"/>
            </w:tcBorders>
            <w:vAlign w:val="center"/>
          </w:tcPr>
          <w:p w14:paraId="7DE2C48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0079551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2FF7F2F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C5E25E5" w14:textId="77777777" w:rsidR="00735AAD" w:rsidRPr="00735AAD" w:rsidRDefault="00735AAD" w:rsidP="00735AAD">
            <w:pPr>
              <w:pStyle w:val="Bezodstpw"/>
              <w:jc w:val="center"/>
              <w:rPr>
                <w:rFonts w:ascii="Times New Roman" w:hAnsi="Times New Roman" w:cs="Times New Roman"/>
                <w:bCs/>
              </w:rPr>
            </w:pPr>
            <w:r w:rsidRPr="00735AAD">
              <w:rPr>
                <w:rFonts w:ascii="Times New Roman" w:eastAsia="Times New Roman" w:hAnsi="Times New Roman" w:cs="Times New Roman"/>
                <w:color w:val="000000"/>
                <w:lang w:eastAsia="pl-PL"/>
              </w:rPr>
              <w:t>323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2E0A9D1"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 xml:space="preserve">SEOD musi umożliwiać przekazanie do systemu </w:t>
            </w:r>
            <w:proofErr w:type="spellStart"/>
            <w:r w:rsidRPr="00735AAD">
              <w:rPr>
                <w:rFonts w:ascii="Times New Roman" w:hAnsi="Times New Roman" w:cs="Times New Roman"/>
              </w:rPr>
              <w:t>Infomedica</w:t>
            </w:r>
            <w:proofErr w:type="spellEnd"/>
            <w:r w:rsidRPr="00735AAD">
              <w:rPr>
                <w:rFonts w:ascii="Times New Roman" w:hAnsi="Times New Roman" w:cs="Times New Roman"/>
              </w:rPr>
              <w:t xml:space="preserve"> dla każdej faktury ID KSEF i datę wystawienia faktury na KSEF</w:t>
            </w:r>
          </w:p>
        </w:tc>
        <w:tc>
          <w:tcPr>
            <w:tcW w:w="1246" w:type="dxa"/>
            <w:tcBorders>
              <w:top w:val="single" w:sz="4" w:space="0" w:color="000000"/>
              <w:left w:val="single" w:sz="4" w:space="0" w:color="000000"/>
              <w:bottom w:val="single" w:sz="4" w:space="0" w:color="000000"/>
              <w:right w:val="single" w:sz="4" w:space="0" w:color="000000"/>
            </w:tcBorders>
            <w:vAlign w:val="center"/>
          </w:tcPr>
          <w:p w14:paraId="2FDF98D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47911171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42A86F38"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563176D3"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Integracja z systemem AMMS</w:t>
            </w:r>
          </w:p>
        </w:tc>
      </w:tr>
      <w:tr w:rsidR="00735AAD" w:rsidRPr="00735AAD" w14:paraId="30A53D5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BF86C4"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324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18A1FBBA"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należy zintegrować z posiadanym przez Zamawiającego systemem typu HIS AMMS firmy Asseco Poland SA.</w:t>
            </w:r>
          </w:p>
        </w:tc>
        <w:tc>
          <w:tcPr>
            <w:tcW w:w="1246" w:type="dxa"/>
            <w:tcBorders>
              <w:top w:val="single" w:sz="4" w:space="0" w:color="000000"/>
              <w:left w:val="single" w:sz="4" w:space="0" w:color="000000"/>
              <w:bottom w:val="single" w:sz="4" w:space="0" w:color="000000"/>
              <w:right w:val="single" w:sz="4" w:space="0" w:color="000000"/>
            </w:tcBorders>
            <w:vAlign w:val="center"/>
          </w:tcPr>
          <w:p w14:paraId="1942BEF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93851624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1E71B31A"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E2ECEC7"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325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74BF8D85"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Integracja musi umożliwiać pobieranie z systemu AMMS dokumentu PZ wraz z danymi nagłówkowymi oraz łączną kwotą brutto dokumentu PZ składającą się ze wszystkich pozycji.</w:t>
            </w:r>
          </w:p>
        </w:tc>
        <w:tc>
          <w:tcPr>
            <w:tcW w:w="1246" w:type="dxa"/>
            <w:tcBorders>
              <w:top w:val="single" w:sz="4" w:space="0" w:color="000000"/>
              <w:left w:val="single" w:sz="4" w:space="0" w:color="000000"/>
              <w:bottom w:val="single" w:sz="4" w:space="0" w:color="000000"/>
              <w:right w:val="single" w:sz="4" w:space="0" w:color="000000"/>
            </w:tcBorders>
            <w:vAlign w:val="center"/>
          </w:tcPr>
          <w:p w14:paraId="73A5105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6505521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04CC73F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AF0B4E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326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4F58CE32"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Integracja musi umożliwiać pobieranie pozycji dokumentu PZ zawierających minimalne dane, tj.: identyfikator asortymentu, nazwa asortymentu, ilość, jednostka miary, wartość netto, VAT oraz wartość brutto.</w:t>
            </w:r>
          </w:p>
        </w:tc>
        <w:tc>
          <w:tcPr>
            <w:tcW w:w="1246" w:type="dxa"/>
            <w:tcBorders>
              <w:top w:val="single" w:sz="4" w:space="0" w:color="000000"/>
              <w:left w:val="single" w:sz="4" w:space="0" w:color="000000"/>
              <w:bottom w:val="single" w:sz="4" w:space="0" w:color="000000"/>
              <w:right w:val="single" w:sz="4" w:space="0" w:color="000000"/>
            </w:tcBorders>
            <w:vAlign w:val="center"/>
          </w:tcPr>
          <w:p w14:paraId="1CEB2A8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89958949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5C2C423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28A61B1"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327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01D2804C"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SEOD musi umożliwiać generowanie podglądu dokumentu PZ z danych, które udostępnia AMMS w standardowych widokach dokumentu PZ.</w:t>
            </w:r>
          </w:p>
        </w:tc>
        <w:tc>
          <w:tcPr>
            <w:tcW w:w="1246" w:type="dxa"/>
            <w:tcBorders>
              <w:top w:val="single" w:sz="4" w:space="0" w:color="000000"/>
              <w:left w:val="single" w:sz="4" w:space="0" w:color="000000"/>
              <w:bottom w:val="single" w:sz="4" w:space="0" w:color="000000"/>
              <w:right w:val="single" w:sz="4" w:space="0" w:color="000000"/>
            </w:tcBorders>
            <w:vAlign w:val="center"/>
          </w:tcPr>
          <w:p w14:paraId="0390918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18444066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7C8E4C4F"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28F5E63C"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Próbka Wykonawcy</w:t>
            </w:r>
          </w:p>
        </w:tc>
      </w:tr>
      <w:tr w:rsidR="00735AAD" w:rsidRPr="00735AAD" w14:paraId="290062E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A125B9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328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2D50E1D0"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Adres URL serwera z próbką.</w:t>
            </w:r>
          </w:p>
        </w:tc>
        <w:tc>
          <w:tcPr>
            <w:tcW w:w="1246" w:type="dxa"/>
            <w:tcBorders>
              <w:top w:val="single" w:sz="4" w:space="0" w:color="000000"/>
              <w:left w:val="single" w:sz="4" w:space="0" w:color="000000"/>
              <w:bottom w:val="single" w:sz="4" w:space="0" w:color="000000"/>
              <w:right w:val="single" w:sz="4" w:space="0" w:color="000000"/>
            </w:tcBorders>
            <w:vAlign w:val="center"/>
          </w:tcPr>
          <w:p w14:paraId="12F3AB54" w14:textId="77777777" w:rsidR="00735AAD" w:rsidRPr="00735AAD" w:rsidRDefault="00735AAD" w:rsidP="00735AAD">
            <w:pPr>
              <w:pStyle w:val="Bezodstpw"/>
              <w:rPr>
                <w:rFonts w:ascii="Times New Roman" w:eastAsia="MS Gothic" w:hAnsi="Times New Roman" w:cs="Times New Roman"/>
              </w:rPr>
            </w:pPr>
            <w:r w:rsidRPr="00735AAD">
              <w:rPr>
                <w:rFonts w:ascii="Times New Roman" w:eastAsia="MS Gothic" w:hAnsi="Times New Roman" w:cs="Times New Roman"/>
              </w:rPr>
              <w:t>...........</w:t>
            </w:r>
          </w:p>
        </w:tc>
      </w:tr>
      <w:tr w:rsidR="00735AAD" w:rsidRPr="00735AAD" w14:paraId="19C4132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EDFD46D"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329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BE50129"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Numeru wersji systemu, oznaczenia wydania (</w:t>
            </w:r>
            <w:proofErr w:type="spellStart"/>
            <w:r w:rsidRPr="00735AAD">
              <w:rPr>
                <w:rFonts w:ascii="Times New Roman" w:hAnsi="Times New Roman" w:cs="Times New Roman"/>
              </w:rPr>
              <w:t>release</w:t>
            </w:r>
            <w:proofErr w:type="spellEnd"/>
            <w:r w:rsidRPr="00735AAD">
              <w:rPr>
                <w:rFonts w:ascii="Times New Roman" w:hAnsi="Times New Roman" w:cs="Times New Roman"/>
              </w:rPr>
              <w:t xml:space="preserve">), daty </w:t>
            </w:r>
            <w:proofErr w:type="spellStart"/>
            <w:r w:rsidRPr="00735AAD">
              <w:rPr>
                <w:rFonts w:ascii="Times New Roman" w:hAnsi="Times New Roman" w:cs="Times New Roman"/>
              </w:rPr>
              <w:t>buildu</w:t>
            </w:r>
            <w:proofErr w:type="spellEnd"/>
            <w:r w:rsidRPr="00735AAD">
              <w:rPr>
                <w:rFonts w:ascii="Times New Roman" w:hAnsi="Times New Roman" w:cs="Times New Roman"/>
              </w:rPr>
              <w:t xml:space="preserve"> lub innego równoważnego oznaczenia pozwalającego na identyfikację prezentowanej próbki.</w:t>
            </w:r>
          </w:p>
        </w:tc>
        <w:tc>
          <w:tcPr>
            <w:tcW w:w="1246" w:type="dxa"/>
            <w:tcBorders>
              <w:top w:val="single" w:sz="4" w:space="0" w:color="000000"/>
              <w:left w:val="single" w:sz="4" w:space="0" w:color="000000"/>
              <w:bottom w:val="single" w:sz="4" w:space="0" w:color="000000"/>
              <w:right w:val="single" w:sz="4" w:space="0" w:color="000000"/>
            </w:tcBorders>
            <w:vAlign w:val="center"/>
          </w:tcPr>
          <w:p w14:paraId="5B6A5823" w14:textId="77777777" w:rsidR="00735AAD" w:rsidRPr="00735AAD" w:rsidRDefault="00735AAD" w:rsidP="00735AAD">
            <w:pPr>
              <w:pStyle w:val="Bezodstpw"/>
              <w:rPr>
                <w:rFonts w:ascii="Times New Roman" w:eastAsia="MS Gothic" w:hAnsi="Times New Roman" w:cs="Times New Roman"/>
              </w:rPr>
            </w:pPr>
            <w:r w:rsidRPr="00735AAD">
              <w:rPr>
                <w:rFonts w:ascii="Times New Roman" w:eastAsia="MS Gothic" w:hAnsi="Times New Roman" w:cs="Times New Roman"/>
              </w:rPr>
              <w:t>...........</w:t>
            </w:r>
          </w:p>
        </w:tc>
      </w:tr>
      <w:tr w:rsidR="00735AAD" w:rsidRPr="00735AAD" w14:paraId="1CCC668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22084B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330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0490DC8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Dane dostępowe do próbki, jeżeli dostęp do próbki wymaga uwierzytelnienia.</w:t>
            </w:r>
          </w:p>
        </w:tc>
        <w:tc>
          <w:tcPr>
            <w:tcW w:w="1246" w:type="dxa"/>
            <w:tcBorders>
              <w:top w:val="single" w:sz="4" w:space="0" w:color="000000"/>
              <w:left w:val="single" w:sz="4" w:space="0" w:color="000000"/>
              <w:bottom w:val="single" w:sz="4" w:space="0" w:color="000000"/>
              <w:right w:val="single" w:sz="4" w:space="0" w:color="000000"/>
            </w:tcBorders>
            <w:vAlign w:val="center"/>
          </w:tcPr>
          <w:p w14:paraId="44697578" w14:textId="77777777" w:rsidR="00735AAD" w:rsidRPr="00735AAD" w:rsidRDefault="00735AAD" w:rsidP="00735AAD">
            <w:pPr>
              <w:pStyle w:val="Bezodstpw"/>
              <w:rPr>
                <w:rFonts w:ascii="Times New Roman" w:eastAsia="MS Gothic" w:hAnsi="Times New Roman" w:cs="Times New Roman"/>
              </w:rPr>
            </w:pPr>
            <w:r w:rsidRPr="00735AAD">
              <w:rPr>
                <w:rFonts w:ascii="Times New Roman" w:eastAsia="MS Gothic" w:hAnsi="Times New Roman" w:cs="Times New Roman"/>
              </w:rPr>
              <w:t>...........</w:t>
            </w:r>
          </w:p>
        </w:tc>
      </w:tr>
      <w:tr w:rsidR="00735AAD" w:rsidRPr="00735AAD" w14:paraId="586268A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86B630"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331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13084B86"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Udostępniona próbka systemu jest tożsama z rozwiązaniem oferowanym w postępowaniu oraz nie będzie modyfikowana w zakresie funkcjonalności podlegających ocenie od dnia złożenia oferty do zakończenia procedury oceny ofert.</w:t>
            </w:r>
          </w:p>
        </w:tc>
        <w:tc>
          <w:tcPr>
            <w:tcW w:w="1246" w:type="dxa"/>
            <w:tcBorders>
              <w:top w:val="single" w:sz="4" w:space="0" w:color="000000"/>
              <w:left w:val="single" w:sz="4" w:space="0" w:color="000000"/>
              <w:bottom w:val="single" w:sz="4" w:space="0" w:color="000000"/>
              <w:right w:val="single" w:sz="4" w:space="0" w:color="000000"/>
            </w:tcBorders>
            <w:vAlign w:val="center"/>
          </w:tcPr>
          <w:p w14:paraId="4045FF5D"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518582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r w:rsidR="00735AAD" w:rsidRPr="00735AAD" w14:paraId="6716C6C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55AEA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332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C1A0A4B" w14:textId="77777777" w:rsidR="00735AAD" w:rsidRPr="00735AAD" w:rsidRDefault="00735AAD" w:rsidP="00735AAD">
            <w:pPr>
              <w:spacing w:after="0" w:line="240" w:lineRule="auto"/>
              <w:jc w:val="both"/>
              <w:rPr>
                <w:rFonts w:ascii="Times New Roman" w:hAnsi="Times New Roman" w:cs="Times New Roman"/>
              </w:rPr>
            </w:pPr>
            <w:r w:rsidRPr="00735AAD">
              <w:rPr>
                <w:rFonts w:ascii="Times New Roman" w:hAnsi="Times New Roman" w:cs="Times New Roman"/>
              </w:rPr>
              <w:t>Próbka zawiera działające wszystkie funkcjonalności obligatoryjne i zadeklarowane przez Wykonawcę (fakultatywne).</w:t>
            </w:r>
          </w:p>
        </w:tc>
        <w:tc>
          <w:tcPr>
            <w:tcW w:w="1246" w:type="dxa"/>
            <w:tcBorders>
              <w:top w:val="single" w:sz="4" w:space="0" w:color="000000"/>
              <w:left w:val="single" w:sz="4" w:space="0" w:color="000000"/>
              <w:bottom w:val="single" w:sz="4" w:space="0" w:color="000000"/>
              <w:right w:val="single" w:sz="4" w:space="0" w:color="000000"/>
            </w:tcBorders>
            <w:vAlign w:val="center"/>
          </w:tcPr>
          <w:p w14:paraId="4E09BFF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6486332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Spełnia</w:t>
            </w:r>
          </w:p>
        </w:tc>
      </w:tr>
    </w:tbl>
    <w:p w14:paraId="6FD42B16" w14:textId="77777777" w:rsidR="00735AAD" w:rsidRDefault="00735AAD" w:rsidP="00CA3B00">
      <w:pPr>
        <w:autoSpaceDE w:val="0"/>
        <w:autoSpaceDN w:val="0"/>
        <w:adjustRightInd w:val="0"/>
        <w:spacing w:after="0" w:line="240" w:lineRule="auto"/>
        <w:rPr>
          <w:rFonts w:ascii="Times New Roman" w:hAnsi="Times New Roman" w:cs="Times New Roman"/>
          <w:sz w:val="24"/>
          <w:szCs w:val="24"/>
        </w:rPr>
      </w:pPr>
    </w:p>
    <w:p w14:paraId="3985DBAF" w14:textId="77777777" w:rsidR="00735AAD" w:rsidRDefault="00735AAD" w:rsidP="00CA3B00">
      <w:pPr>
        <w:autoSpaceDE w:val="0"/>
        <w:autoSpaceDN w:val="0"/>
        <w:adjustRightInd w:val="0"/>
        <w:spacing w:after="0" w:line="240" w:lineRule="auto"/>
        <w:rPr>
          <w:rFonts w:ascii="Times New Roman" w:hAnsi="Times New Roman" w:cs="Times New Roman"/>
          <w:sz w:val="24"/>
          <w:szCs w:val="24"/>
        </w:rPr>
      </w:pPr>
    </w:p>
    <w:p w14:paraId="5F49A99B" w14:textId="77777777" w:rsidR="00735AAD" w:rsidRPr="00735AAD" w:rsidRDefault="00735AAD" w:rsidP="00735AAD">
      <w:pPr>
        <w:rPr>
          <w:rFonts w:ascii="Times New Roman" w:hAnsi="Times New Roman" w:cs="Times New Roman"/>
          <w:sz w:val="20"/>
          <w:szCs w:val="20"/>
        </w:rPr>
      </w:pPr>
    </w:p>
    <w:p w14:paraId="27FC81C4" w14:textId="77777777" w:rsidR="00735AAD" w:rsidRPr="00735AAD" w:rsidRDefault="00735AAD" w:rsidP="00735AAD">
      <w:pPr>
        <w:pStyle w:val="Akapitzlist"/>
        <w:numPr>
          <w:ilvl w:val="0"/>
          <w:numId w:val="22"/>
        </w:numPr>
        <w:autoSpaceDE w:val="0"/>
        <w:autoSpaceDN w:val="0"/>
        <w:adjustRightInd w:val="0"/>
        <w:spacing w:after="0" w:line="240" w:lineRule="auto"/>
        <w:rPr>
          <w:rFonts w:ascii="Times New Roman" w:hAnsi="Times New Roman" w:cs="Times New Roman"/>
          <w:sz w:val="20"/>
          <w:szCs w:val="20"/>
        </w:rPr>
      </w:pPr>
      <w:r w:rsidRPr="00735AAD">
        <w:rPr>
          <w:rFonts w:ascii="Times New Roman" w:hAnsi="Times New Roman" w:cs="Times New Roman"/>
          <w:sz w:val="20"/>
          <w:szCs w:val="20"/>
        </w:rPr>
        <w:t>Funkcjonalności deklarowane przez Wykonawcę i weryfikowane podczas badania próbki.</w:t>
      </w:r>
    </w:p>
    <w:p w14:paraId="1D0B099B" w14:textId="77777777" w:rsidR="00735AAD" w:rsidRPr="00735AAD" w:rsidRDefault="00735AAD" w:rsidP="00735AAD">
      <w:pPr>
        <w:autoSpaceDE w:val="0"/>
        <w:autoSpaceDN w:val="0"/>
        <w:adjustRightInd w:val="0"/>
        <w:spacing w:after="0" w:line="240" w:lineRule="auto"/>
        <w:ind w:left="360"/>
        <w:rPr>
          <w:rFonts w:ascii="Times New Roman" w:hAnsi="Times New Roman" w:cs="Times New Roman"/>
          <w:sz w:val="20"/>
          <w:szCs w:val="20"/>
        </w:rPr>
      </w:pPr>
    </w:p>
    <w:p w14:paraId="4B7C4B23" w14:textId="3FADE298" w:rsidR="00735AAD" w:rsidRPr="00735AAD" w:rsidRDefault="00735AAD" w:rsidP="00735AAD">
      <w:pPr>
        <w:autoSpaceDE w:val="0"/>
        <w:autoSpaceDN w:val="0"/>
        <w:adjustRightInd w:val="0"/>
        <w:spacing w:after="0" w:line="240" w:lineRule="auto"/>
        <w:ind w:left="360"/>
        <w:rPr>
          <w:rFonts w:ascii="Times New Roman" w:hAnsi="Times New Roman" w:cs="Times New Roman"/>
          <w:sz w:val="20"/>
          <w:szCs w:val="20"/>
        </w:rPr>
      </w:pPr>
      <w:r w:rsidRPr="00735AAD">
        <w:rPr>
          <w:rFonts w:ascii="Times New Roman" w:hAnsi="Times New Roman" w:cs="Times New Roman"/>
          <w:sz w:val="20"/>
          <w:szCs w:val="20"/>
        </w:rPr>
        <w:t xml:space="preserve">Sposób </w:t>
      </w:r>
      <w:r w:rsidR="00003C49">
        <w:rPr>
          <w:rFonts w:ascii="Times New Roman" w:hAnsi="Times New Roman" w:cs="Times New Roman"/>
          <w:sz w:val="20"/>
          <w:szCs w:val="20"/>
        </w:rPr>
        <w:t>b</w:t>
      </w:r>
      <w:r w:rsidRPr="00735AAD">
        <w:rPr>
          <w:rFonts w:ascii="Times New Roman" w:hAnsi="Times New Roman" w:cs="Times New Roman"/>
          <w:sz w:val="20"/>
          <w:szCs w:val="20"/>
        </w:rPr>
        <w:t>adani próbki i sposób oceniania zawarte są w załączniku Regulamin badania próbki</w:t>
      </w:r>
    </w:p>
    <w:p w14:paraId="7A5B50A8" w14:textId="77777777" w:rsidR="00735AAD" w:rsidRPr="00735AAD" w:rsidRDefault="00735AAD" w:rsidP="00735AAD">
      <w:pPr>
        <w:autoSpaceDE w:val="0"/>
        <w:autoSpaceDN w:val="0"/>
        <w:adjustRightInd w:val="0"/>
        <w:spacing w:after="0" w:line="240" w:lineRule="auto"/>
        <w:ind w:left="360"/>
        <w:rPr>
          <w:rFonts w:ascii="Times New Roman" w:hAnsi="Times New Roman" w:cs="Times New Roman"/>
          <w:sz w:val="20"/>
          <w:szCs w:val="20"/>
        </w:rPr>
      </w:pPr>
    </w:p>
    <w:p w14:paraId="1C324029" w14:textId="77777777" w:rsidR="00735AAD" w:rsidRPr="00735AAD" w:rsidRDefault="00735AAD" w:rsidP="00735AAD">
      <w:pPr>
        <w:numPr>
          <w:ilvl w:val="0"/>
          <w:numId w:val="25"/>
        </w:numPr>
        <w:spacing w:after="160" w:line="259" w:lineRule="auto"/>
        <w:contextualSpacing/>
        <w:jc w:val="both"/>
        <w:rPr>
          <w:rFonts w:ascii="Times New Roman" w:hAnsi="Times New Roman" w:cs="Times New Roman"/>
          <w:sz w:val="20"/>
          <w:szCs w:val="20"/>
        </w:rPr>
      </w:pPr>
      <w:r w:rsidRPr="00735AAD">
        <w:rPr>
          <w:rFonts w:ascii="Times New Roman" w:hAnsi="Times New Roman" w:cs="Times New Roman"/>
          <w:sz w:val="20"/>
          <w:szCs w:val="20"/>
        </w:rPr>
        <w:t>Funkcjonalności wymagane/obligatoryjne SEOD do zaprezentowania na próbce.</w:t>
      </w:r>
    </w:p>
    <w:p w14:paraId="4ED41393"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r w:rsidRPr="00735AAD">
        <w:rPr>
          <w:rFonts w:ascii="Times New Roman" w:hAnsi="Times New Roman" w:cs="Times New Roman"/>
          <w:sz w:val="20"/>
          <w:szCs w:val="20"/>
        </w:rPr>
        <w:t>Poniższe parametry/warunki graniczne stanowią wymagania odcinające – niespełnienie nawet jednego z niżej wymienionych wymagań spowoduje odrzucenie oferty. W cenie oferty są zawarte wszystkie wyspecyfikowane poniżej funkcje będące przedmiotem oferty.</w:t>
      </w:r>
    </w:p>
    <w:p w14:paraId="38FFCE76"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p>
    <w:p w14:paraId="48A05976"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r w:rsidRPr="00735AAD">
        <w:rPr>
          <w:rFonts w:ascii="Times New Roman" w:hAnsi="Times New Roman" w:cs="Times New Roman"/>
          <w:sz w:val="20"/>
          <w:szCs w:val="20"/>
        </w:rPr>
        <w:t>Wykonawca dla każdej funkcjonalności wskaże w kolumnie nr 3, właściwą odpowiedź:</w:t>
      </w:r>
    </w:p>
    <w:p w14:paraId="4A94E07A"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p>
    <w:p w14:paraId="4C7495A4" w14:textId="77777777" w:rsidR="00735AAD" w:rsidRPr="00735AAD" w:rsidRDefault="00735AAD" w:rsidP="00735AAD">
      <w:pPr>
        <w:spacing w:after="160" w:line="259" w:lineRule="auto"/>
        <w:ind w:left="1843" w:hanging="787"/>
        <w:jc w:val="both"/>
        <w:rPr>
          <w:rFonts w:ascii="Times New Roman" w:hAnsi="Times New Roman" w:cs="Times New Roman"/>
          <w:sz w:val="20"/>
          <w:szCs w:val="20"/>
        </w:rPr>
      </w:pPr>
      <w:r w:rsidRPr="00735AAD">
        <w:rPr>
          <w:rFonts w:ascii="Times New Roman" w:hAnsi="Times New Roman" w:cs="Times New Roman"/>
          <w:b/>
          <w:sz w:val="20"/>
          <w:szCs w:val="20"/>
        </w:rPr>
        <w:t>TAK</w:t>
      </w:r>
      <w:r w:rsidRPr="00735AAD">
        <w:rPr>
          <w:rFonts w:ascii="Times New Roman" w:hAnsi="Times New Roman" w:cs="Times New Roman"/>
          <w:sz w:val="20"/>
          <w:szCs w:val="20"/>
        </w:rPr>
        <w:t xml:space="preserve"> – oznacza, że oferowany System posiada daną funkcjonalność na dzień składania oferty. </w:t>
      </w:r>
    </w:p>
    <w:p w14:paraId="2F9D8EF1" w14:textId="77777777" w:rsidR="00735AAD" w:rsidRPr="00735AAD" w:rsidRDefault="00735AAD" w:rsidP="00735AAD">
      <w:pPr>
        <w:spacing w:after="160" w:line="259" w:lineRule="auto"/>
        <w:ind w:left="1843" w:hanging="787"/>
        <w:jc w:val="both"/>
        <w:rPr>
          <w:rFonts w:ascii="Times New Roman" w:hAnsi="Times New Roman" w:cs="Times New Roman"/>
          <w:sz w:val="20"/>
          <w:szCs w:val="20"/>
        </w:rPr>
      </w:pPr>
      <w:r w:rsidRPr="00735AAD">
        <w:rPr>
          <w:rFonts w:ascii="Times New Roman" w:hAnsi="Times New Roman" w:cs="Times New Roman"/>
          <w:b/>
          <w:sz w:val="20"/>
          <w:szCs w:val="20"/>
        </w:rPr>
        <w:t>NIE</w:t>
      </w:r>
      <w:r w:rsidRPr="00735AAD">
        <w:rPr>
          <w:rFonts w:ascii="Times New Roman" w:hAnsi="Times New Roman" w:cs="Times New Roman"/>
          <w:sz w:val="20"/>
          <w:szCs w:val="20"/>
        </w:rPr>
        <w:t xml:space="preserve"> – oznacza, że oferowany System nie posiada danej funkcjonalności na dzień składania oferty.</w:t>
      </w:r>
    </w:p>
    <w:p w14:paraId="4A818FA3"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p>
    <w:p w14:paraId="6770431E"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r w:rsidRPr="00735AAD">
        <w:rPr>
          <w:rFonts w:ascii="Times New Roman" w:hAnsi="Times New Roman" w:cs="Times New Roman"/>
          <w:sz w:val="20"/>
          <w:szCs w:val="20"/>
        </w:rPr>
        <w:t>Poprzez wpisanie w ostatnią kolumnę tabeli słowa TAK, Wykonawca potwierdza:</w:t>
      </w:r>
    </w:p>
    <w:p w14:paraId="58CBCD1C" w14:textId="77777777" w:rsidR="00735AAD" w:rsidRPr="00735AAD" w:rsidRDefault="00735AAD" w:rsidP="00735AAD">
      <w:pPr>
        <w:pStyle w:val="Akapitzlist"/>
        <w:numPr>
          <w:ilvl w:val="0"/>
          <w:numId w:val="27"/>
        </w:numPr>
        <w:spacing w:after="160" w:line="259" w:lineRule="auto"/>
        <w:jc w:val="both"/>
        <w:rPr>
          <w:rFonts w:ascii="Times New Roman" w:hAnsi="Times New Roman" w:cs="Times New Roman"/>
          <w:sz w:val="20"/>
          <w:szCs w:val="20"/>
        </w:rPr>
      </w:pPr>
      <w:r w:rsidRPr="00735AAD">
        <w:rPr>
          <w:rFonts w:ascii="Times New Roman" w:hAnsi="Times New Roman" w:cs="Times New Roman"/>
          <w:sz w:val="20"/>
          <w:szCs w:val="20"/>
        </w:rPr>
        <w:t>spełnienie oznaczonych wymagań funkcjonalnych przez oferowany SEOD na dzień składania ofert;</w:t>
      </w:r>
    </w:p>
    <w:p w14:paraId="1D8884A4" w14:textId="77777777" w:rsidR="00735AAD" w:rsidRPr="00735AAD" w:rsidRDefault="00735AAD" w:rsidP="00735AAD">
      <w:pPr>
        <w:pStyle w:val="Akapitzlist"/>
        <w:numPr>
          <w:ilvl w:val="0"/>
          <w:numId w:val="27"/>
        </w:numPr>
        <w:spacing w:after="160" w:line="259" w:lineRule="auto"/>
        <w:jc w:val="both"/>
        <w:rPr>
          <w:rFonts w:ascii="Times New Roman" w:hAnsi="Times New Roman" w:cs="Times New Roman"/>
          <w:sz w:val="20"/>
          <w:szCs w:val="20"/>
        </w:rPr>
      </w:pPr>
      <w:r w:rsidRPr="00735AAD">
        <w:rPr>
          <w:rFonts w:ascii="Times New Roman" w:hAnsi="Times New Roman" w:cs="Times New Roman"/>
          <w:sz w:val="20"/>
          <w:szCs w:val="20"/>
        </w:rPr>
        <w:t>przedstawienie oznaczonych wymagań w trakcie prezentacji próbki po złożeniu oferty w terminie wyznaczonym przez Zamawiającego;</w:t>
      </w:r>
    </w:p>
    <w:p w14:paraId="19553669" w14:textId="77777777" w:rsidR="00735AAD" w:rsidRPr="00735AAD" w:rsidRDefault="00735AAD" w:rsidP="00735AAD">
      <w:pPr>
        <w:pStyle w:val="Akapitzlist"/>
        <w:numPr>
          <w:ilvl w:val="0"/>
          <w:numId w:val="27"/>
        </w:numPr>
        <w:spacing w:after="160" w:line="259" w:lineRule="auto"/>
        <w:jc w:val="both"/>
        <w:rPr>
          <w:rFonts w:ascii="Times New Roman" w:hAnsi="Times New Roman" w:cs="Times New Roman"/>
          <w:sz w:val="20"/>
          <w:szCs w:val="20"/>
        </w:rPr>
      </w:pPr>
      <w:r w:rsidRPr="00735AAD">
        <w:rPr>
          <w:rFonts w:ascii="Times New Roman" w:hAnsi="Times New Roman" w:cs="Times New Roman"/>
          <w:sz w:val="20"/>
          <w:szCs w:val="20"/>
        </w:rPr>
        <w:t>dostarczenie i wdrożenie oznaczonych wymagań w ramach zamówienia.</w:t>
      </w:r>
    </w:p>
    <w:p w14:paraId="751521C6"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p>
    <w:p w14:paraId="46BD9BA5"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r w:rsidRPr="00735AAD">
        <w:rPr>
          <w:rFonts w:ascii="Times New Roman" w:hAnsi="Times New Roman" w:cs="Times New Roman"/>
          <w:sz w:val="20"/>
          <w:szCs w:val="20"/>
        </w:rPr>
        <w:t>Brak przedstawienia danej funkcjonalności na prezentacji próbki mimo wpisania przez Wykonawcę słowa TAK będzie skutkowało odrzuceniem oferty Wykonawcy.</w:t>
      </w:r>
    </w:p>
    <w:p w14:paraId="7308E660"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p>
    <w:p w14:paraId="377ADE1F" w14:textId="77777777" w:rsidR="00735AAD" w:rsidRPr="00735AAD" w:rsidRDefault="00735AAD" w:rsidP="00735AAD">
      <w:pPr>
        <w:spacing w:after="160" w:line="259" w:lineRule="auto"/>
        <w:ind w:left="360"/>
        <w:contextualSpacing/>
        <w:jc w:val="both"/>
        <w:rPr>
          <w:rFonts w:ascii="Times New Roman" w:hAnsi="Times New Roman" w:cs="Times New Roman"/>
          <w:sz w:val="20"/>
          <w:szCs w:val="20"/>
        </w:rPr>
      </w:pPr>
      <w:r w:rsidRPr="00735AAD">
        <w:rPr>
          <w:rFonts w:ascii="Times New Roman" w:hAnsi="Times New Roman" w:cs="Times New Roman"/>
          <w:sz w:val="20"/>
          <w:szCs w:val="20"/>
        </w:rPr>
        <w:t xml:space="preserve">Wpisanie jakiegokolwiek innego słowa lub brak wpisu będzie traktowany przez Zamawiającego jako wpisanie NIE. </w:t>
      </w:r>
    </w:p>
    <w:p w14:paraId="7FA81ECE" w14:textId="77777777" w:rsidR="00735AAD" w:rsidRPr="00735AAD" w:rsidRDefault="00735AAD" w:rsidP="00735AAD">
      <w:pPr>
        <w:autoSpaceDE w:val="0"/>
        <w:autoSpaceDN w:val="0"/>
        <w:adjustRightInd w:val="0"/>
        <w:spacing w:after="0" w:line="240" w:lineRule="auto"/>
        <w:rPr>
          <w:rFonts w:ascii="Times New Roman" w:hAnsi="Times New Roman" w:cs="Times New Roman"/>
          <w:sz w:val="20"/>
          <w:szCs w:val="20"/>
        </w:rPr>
      </w:pPr>
      <w:r w:rsidRPr="00735AAD">
        <w:rPr>
          <w:rFonts w:ascii="Times New Roman" w:hAnsi="Times New Roman" w:cs="Times New Roman"/>
          <w:sz w:val="20"/>
          <w:szCs w:val="20"/>
        </w:rPr>
        <w:t>Wpisanie przy jakimkolwiek wymaganiu słowa NIE będzie równoznacznie z odrzuceniem oferty Wykonawcy.</w:t>
      </w:r>
    </w:p>
    <w:p w14:paraId="6FB2B2FA" w14:textId="77777777" w:rsidR="00735AAD" w:rsidRDefault="00735AAD" w:rsidP="00735AAD">
      <w:pPr>
        <w:autoSpaceDE w:val="0"/>
        <w:autoSpaceDN w:val="0"/>
        <w:adjustRightInd w:val="0"/>
        <w:spacing w:after="0" w:line="240" w:lineRule="auto"/>
        <w:rPr>
          <w:rFonts w:ascii="Verdana" w:hAnsi="Verdana" w:cs="Times New Roman"/>
        </w:rPr>
      </w:pPr>
    </w:p>
    <w:tbl>
      <w:tblPr>
        <w:tblW w:w="5002" w:type="pct"/>
        <w:tblInd w:w="-5" w:type="dxa"/>
        <w:tblLayout w:type="fixed"/>
        <w:tblCellMar>
          <w:left w:w="10" w:type="dxa"/>
          <w:right w:w="10" w:type="dxa"/>
        </w:tblCellMar>
        <w:tblLook w:val="0000" w:firstRow="0" w:lastRow="0" w:firstColumn="0" w:lastColumn="0" w:noHBand="0" w:noVBand="0"/>
      </w:tblPr>
      <w:tblGrid>
        <w:gridCol w:w="885"/>
        <w:gridCol w:w="7179"/>
        <w:gridCol w:w="1090"/>
      </w:tblGrid>
      <w:tr w:rsidR="00735AAD" w:rsidRPr="00735AAD" w14:paraId="6376DE2E"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shd w:val="clear" w:color="auto" w:fill="00B0F0"/>
            <w:tcMar>
              <w:top w:w="0" w:type="dxa"/>
              <w:left w:w="70" w:type="dxa"/>
              <w:bottom w:w="0" w:type="dxa"/>
              <w:right w:w="70" w:type="dxa"/>
            </w:tcMar>
            <w:vAlign w:val="center"/>
          </w:tcPr>
          <w:p w14:paraId="3589219F" w14:textId="77777777" w:rsidR="00735AAD" w:rsidRPr="00735AAD" w:rsidRDefault="00735AAD" w:rsidP="00735AAD">
            <w:pPr>
              <w:autoSpaceDE w:val="0"/>
              <w:autoSpaceDN w:val="0"/>
              <w:adjustRightInd w:val="0"/>
              <w:spacing w:after="0" w:line="240" w:lineRule="auto"/>
              <w:jc w:val="center"/>
              <w:rPr>
                <w:rFonts w:ascii="Times New Roman" w:hAnsi="Times New Roman" w:cs="Times New Roman"/>
                <w:b/>
                <w:color w:val="000000"/>
                <w:sz w:val="14"/>
                <w:szCs w:val="14"/>
              </w:rPr>
            </w:pPr>
            <w:r w:rsidRPr="00735AAD">
              <w:rPr>
                <w:rFonts w:ascii="Times New Roman" w:eastAsia="Calibri" w:hAnsi="Times New Roman" w:cs="Times New Roman"/>
                <w:b/>
                <w:sz w:val="14"/>
                <w:szCs w:val="14"/>
              </w:rPr>
              <w:t>Numer</w:t>
            </w:r>
          </w:p>
          <w:p w14:paraId="68DBB3E4" w14:textId="77777777" w:rsidR="00735AAD" w:rsidRPr="00735AAD" w:rsidRDefault="00735AAD" w:rsidP="00735AAD">
            <w:pPr>
              <w:autoSpaceDN w:val="0"/>
              <w:spacing w:after="0" w:line="254" w:lineRule="auto"/>
              <w:jc w:val="center"/>
              <w:rPr>
                <w:rFonts w:ascii="Times New Roman" w:eastAsia="Calibri" w:hAnsi="Times New Roman" w:cs="Times New Roman"/>
                <w:b/>
                <w:sz w:val="18"/>
                <w:szCs w:val="18"/>
              </w:rPr>
            </w:pPr>
            <w:r w:rsidRPr="00735AAD">
              <w:rPr>
                <w:rFonts w:ascii="Times New Roman" w:eastAsia="Calibri" w:hAnsi="Times New Roman" w:cs="Times New Roman"/>
                <w:b/>
                <w:sz w:val="14"/>
                <w:szCs w:val="14"/>
              </w:rPr>
              <w:t>parametru</w:t>
            </w:r>
          </w:p>
        </w:tc>
        <w:tc>
          <w:tcPr>
            <w:tcW w:w="8221" w:type="dxa"/>
            <w:tcBorders>
              <w:top w:val="single" w:sz="4" w:space="0" w:color="000000"/>
              <w:left w:val="single" w:sz="4" w:space="0" w:color="000000"/>
              <w:bottom w:val="single" w:sz="4" w:space="0" w:color="000000"/>
              <w:right w:val="single" w:sz="4" w:space="0" w:color="000000"/>
            </w:tcBorders>
            <w:shd w:val="clear" w:color="auto" w:fill="00B0F0"/>
            <w:tcMar>
              <w:top w:w="0" w:type="dxa"/>
              <w:left w:w="70" w:type="dxa"/>
              <w:bottom w:w="0" w:type="dxa"/>
              <w:right w:w="70" w:type="dxa"/>
            </w:tcMar>
            <w:vAlign w:val="center"/>
          </w:tcPr>
          <w:p w14:paraId="4F911795" w14:textId="77777777" w:rsidR="00735AAD" w:rsidRPr="00735AAD" w:rsidRDefault="00735AAD" w:rsidP="00735AAD">
            <w:pPr>
              <w:autoSpaceDN w:val="0"/>
              <w:spacing w:after="0" w:line="254" w:lineRule="auto"/>
              <w:jc w:val="center"/>
              <w:rPr>
                <w:rFonts w:ascii="Times New Roman" w:eastAsia="Calibri" w:hAnsi="Times New Roman" w:cs="Times New Roman"/>
                <w:b/>
                <w:sz w:val="18"/>
                <w:szCs w:val="18"/>
              </w:rPr>
            </w:pPr>
            <w:r w:rsidRPr="00735AAD">
              <w:rPr>
                <w:rFonts w:ascii="Times New Roman" w:eastAsia="Calibri" w:hAnsi="Times New Roman" w:cs="Times New Roman"/>
                <w:b/>
              </w:rPr>
              <w:t>Funkcjonalności wymagane/obligatoryjne SEOD do zaprezentowania na próbce</w:t>
            </w:r>
          </w:p>
        </w:tc>
        <w:tc>
          <w:tcPr>
            <w:tcW w:w="1246" w:type="dxa"/>
            <w:tcBorders>
              <w:top w:val="single" w:sz="4" w:space="0" w:color="000000"/>
              <w:left w:val="single" w:sz="4" w:space="0" w:color="000000"/>
              <w:bottom w:val="single" w:sz="4" w:space="0" w:color="000000"/>
              <w:right w:val="single" w:sz="4" w:space="0" w:color="000000"/>
            </w:tcBorders>
            <w:shd w:val="clear" w:color="auto" w:fill="00B0F0"/>
            <w:vAlign w:val="center"/>
          </w:tcPr>
          <w:p w14:paraId="0C427C3C" w14:textId="77777777" w:rsidR="00735AAD" w:rsidRPr="00735AAD" w:rsidRDefault="00735AAD" w:rsidP="00735AAD">
            <w:pPr>
              <w:autoSpaceDN w:val="0"/>
              <w:spacing w:after="0" w:line="254"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Weryfikacja spełniania wymagań</w:t>
            </w:r>
          </w:p>
          <w:p w14:paraId="6DA4B9C0" w14:textId="77777777" w:rsidR="00735AAD" w:rsidRPr="00735AAD" w:rsidRDefault="00735AAD" w:rsidP="00735AAD">
            <w:pPr>
              <w:autoSpaceDN w:val="0"/>
              <w:spacing w:after="0" w:line="254" w:lineRule="auto"/>
              <w:jc w:val="center"/>
              <w:rPr>
                <w:rFonts w:ascii="Times New Roman" w:eastAsia="Calibri" w:hAnsi="Times New Roman" w:cs="Times New Roman"/>
                <w:b/>
                <w:sz w:val="18"/>
                <w:szCs w:val="18"/>
              </w:rPr>
            </w:pPr>
            <w:r w:rsidRPr="00735AAD">
              <w:rPr>
                <w:rFonts w:ascii="Times New Roman" w:eastAsia="Calibri" w:hAnsi="Times New Roman" w:cs="Times New Roman"/>
                <w:b/>
                <w:sz w:val="14"/>
                <w:szCs w:val="14"/>
              </w:rPr>
              <w:t>(Tak/Nie)</w:t>
            </w:r>
          </w:p>
        </w:tc>
      </w:tr>
      <w:tr w:rsidR="00735AAD" w:rsidRPr="00735AAD" w14:paraId="7DF89E68"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shd w:val="clear" w:color="auto" w:fill="00B0F0"/>
            <w:tcMar>
              <w:top w:w="0" w:type="dxa"/>
              <w:left w:w="70" w:type="dxa"/>
              <w:bottom w:w="0" w:type="dxa"/>
              <w:right w:w="70" w:type="dxa"/>
            </w:tcMar>
            <w:vAlign w:val="center"/>
          </w:tcPr>
          <w:p w14:paraId="6236660C" w14:textId="77777777" w:rsidR="00735AAD" w:rsidRPr="00735AAD" w:rsidRDefault="00735AAD" w:rsidP="00735AAD">
            <w:pPr>
              <w:autoSpaceDE w:val="0"/>
              <w:autoSpaceDN w:val="0"/>
              <w:adjustRightInd w:val="0"/>
              <w:spacing w:after="0" w:line="240"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1</w:t>
            </w:r>
          </w:p>
        </w:tc>
        <w:tc>
          <w:tcPr>
            <w:tcW w:w="8221" w:type="dxa"/>
            <w:tcBorders>
              <w:top w:val="single" w:sz="4" w:space="0" w:color="000000"/>
              <w:left w:val="single" w:sz="4" w:space="0" w:color="000000"/>
              <w:bottom w:val="single" w:sz="4" w:space="0" w:color="000000"/>
              <w:right w:val="single" w:sz="4" w:space="0" w:color="000000"/>
            </w:tcBorders>
            <w:shd w:val="clear" w:color="auto" w:fill="00B0F0"/>
            <w:tcMar>
              <w:top w:w="0" w:type="dxa"/>
              <w:left w:w="70" w:type="dxa"/>
              <w:bottom w:w="0" w:type="dxa"/>
              <w:right w:w="70" w:type="dxa"/>
            </w:tcMar>
            <w:vAlign w:val="center"/>
          </w:tcPr>
          <w:p w14:paraId="5BF5C44E" w14:textId="77777777" w:rsidR="00735AAD" w:rsidRPr="00735AAD" w:rsidRDefault="00735AAD" w:rsidP="00735AAD">
            <w:pPr>
              <w:autoSpaceDN w:val="0"/>
              <w:spacing w:after="0" w:line="254" w:lineRule="auto"/>
              <w:jc w:val="center"/>
              <w:rPr>
                <w:rFonts w:ascii="Times New Roman" w:eastAsia="Calibri" w:hAnsi="Times New Roman" w:cs="Times New Roman"/>
                <w:b/>
              </w:rPr>
            </w:pPr>
            <w:r w:rsidRPr="00735AAD">
              <w:rPr>
                <w:rFonts w:ascii="Times New Roman" w:eastAsia="Calibri" w:hAnsi="Times New Roman" w:cs="Times New Roman"/>
                <w:b/>
                <w:sz w:val="14"/>
                <w:szCs w:val="14"/>
              </w:rPr>
              <w:t>2</w:t>
            </w:r>
          </w:p>
        </w:tc>
        <w:tc>
          <w:tcPr>
            <w:tcW w:w="1246" w:type="dxa"/>
            <w:tcBorders>
              <w:top w:val="single" w:sz="4" w:space="0" w:color="000000"/>
              <w:left w:val="single" w:sz="4" w:space="0" w:color="000000"/>
              <w:bottom w:val="single" w:sz="4" w:space="0" w:color="000000"/>
              <w:right w:val="single" w:sz="4" w:space="0" w:color="000000"/>
            </w:tcBorders>
            <w:shd w:val="clear" w:color="auto" w:fill="00B0F0"/>
            <w:vAlign w:val="center"/>
          </w:tcPr>
          <w:p w14:paraId="7E78DE64" w14:textId="77777777" w:rsidR="00735AAD" w:rsidRPr="00735AAD" w:rsidRDefault="00735AAD" w:rsidP="00735AAD">
            <w:pPr>
              <w:autoSpaceDN w:val="0"/>
              <w:spacing w:after="0" w:line="254"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3</w:t>
            </w:r>
          </w:p>
        </w:tc>
      </w:tr>
      <w:tr w:rsidR="00735AAD" w:rsidRPr="00735AAD" w14:paraId="0861D1BF"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45E1F431" w14:textId="77777777" w:rsidR="00735AAD" w:rsidRPr="00735AAD" w:rsidRDefault="00735AAD" w:rsidP="00735AAD">
            <w:pPr>
              <w:pStyle w:val="Bezodstpw"/>
              <w:jc w:val="center"/>
              <w:rPr>
                <w:rFonts w:ascii="Times New Roman" w:eastAsia="MS Gothic" w:hAnsi="Times New Roman" w:cs="Times New Roman"/>
                <w:b/>
              </w:rPr>
            </w:pPr>
            <w:r w:rsidRPr="00735AAD">
              <w:rPr>
                <w:rFonts w:ascii="Times New Roman" w:hAnsi="Times New Roman" w:cs="Times New Roman"/>
                <w:b/>
              </w:rPr>
              <w:t>Rejestr i rozliczanie kosztowe umów</w:t>
            </w:r>
          </w:p>
        </w:tc>
      </w:tr>
      <w:tr w:rsidR="00735AAD" w:rsidRPr="00735AAD" w14:paraId="65C7070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BB84CF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86DDC53"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Możliwość rejestrowania w SEOD różnego rodzaju umów. Przy rejestracji danego rodzaju umowy – do każdego rodzaju umowy musi dynamicznie generować się inny formularz rejestracyjny z dedykowanymi typami pól. Należy zaprezentować dynamiczne formularze (zmieniające się dla danego rodzaju umowy) dla minimalnie następujących rodzajów umów i pól dla każdego z rodzajów umów:</w:t>
            </w:r>
          </w:p>
          <w:p w14:paraId="09AA3D43" w14:textId="77777777" w:rsidR="00735AAD" w:rsidRPr="00735AAD" w:rsidRDefault="00735AAD" w:rsidP="00735AAD">
            <w:pPr>
              <w:pStyle w:val="Akapitzlist"/>
              <w:numPr>
                <w:ilvl w:val="0"/>
                <w:numId w:val="15"/>
              </w:numPr>
              <w:autoSpaceDN w:val="0"/>
              <w:spacing w:after="0" w:line="254" w:lineRule="auto"/>
              <w:jc w:val="both"/>
              <w:rPr>
                <w:rFonts w:ascii="Times New Roman" w:hAnsi="Times New Roman" w:cs="Times New Roman"/>
              </w:rPr>
            </w:pPr>
            <w:r w:rsidRPr="00735AAD">
              <w:rPr>
                <w:rFonts w:ascii="Times New Roman" w:hAnsi="Times New Roman" w:cs="Times New Roman"/>
              </w:rPr>
              <w:t>Umowa najmu</w:t>
            </w:r>
          </w:p>
          <w:p w14:paraId="62FCF666" w14:textId="77777777" w:rsidR="00735AAD" w:rsidRPr="00735AAD" w:rsidRDefault="00735AAD" w:rsidP="00735AAD">
            <w:pPr>
              <w:pStyle w:val="Akapitzlist"/>
              <w:numPr>
                <w:ilvl w:val="0"/>
                <w:numId w:val="16"/>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lastRenderedPageBreak/>
              <w:t>Kontrahent – pole wyboru kontrahenta z bazy kontrahentów SEOD z możliwością założenia nowego kontrahenta którego nie ma w bazie</w:t>
            </w:r>
          </w:p>
          <w:p w14:paraId="1D8596B3" w14:textId="77777777" w:rsidR="00735AAD" w:rsidRPr="00735AAD" w:rsidRDefault="00735AAD" w:rsidP="00735AAD">
            <w:pPr>
              <w:pStyle w:val="Akapitzlist"/>
              <w:numPr>
                <w:ilvl w:val="0"/>
                <w:numId w:val="16"/>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Data zawarcia umowy – pole z wyborem daty z kalendarza</w:t>
            </w:r>
          </w:p>
          <w:p w14:paraId="28F31D3B" w14:textId="77777777" w:rsidR="00735AAD" w:rsidRPr="00735AAD" w:rsidRDefault="00735AAD" w:rsidP="00735AAD">
            <w:pPr>
              <w:pStyle w:val="Akapitzlist"/>
              <w:numPr>
                <w:ilvl w:val="0"/>
                <w:numId w:val="16"/>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Data rozpoczęcia obowiązywania umowy – pole z wyborem daty z kalendarza</w:t>
            </w:r>
          </w:p>
          <w:p w14:paraId="11B52FDC" w14:textId="77777777" w:rsidR="00735AAD" w:rsidRPr="00735AAD" w:rsidRDefault="00735AAD" w:rsidP="00735AAD">
            <w:pPr>
              <w:pStyle w:val="Akapitzlist"/>
              <w:numPr>
                <w:ilvl w:val="0"/>
                <w:numId w:val="16"/>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Data zakończenia obowiązywania – pole z wyborem daty z kalendarza</w:t>
            </w:r>
          </w:p>
          <w:p w14:paraId="6EF9D313" w14:textId="77777777" w:rsidR="00735AAD" w:rsidRPr="00735AAD" w:rsidRDefault="00735AAD" w:rsidP="00735AAD">
            <w:pPr>
              <w:pStyle w:val="Akapitzlist"/>
              <w:numPr>
                <w:ilvl w:val="0"/>
                <w:numId w:val="16"/>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Wartość netto – pole liczbowe, prezentujące wartości z dokładnością do dwóch miejsc po przecinku</w:t>
            </w:r>
          </w:p>
          <w:p w14:paraId="01237D09" w14:textId="77777777" w:rsidR="00735AAD" w:rsidRPr="00735AAD" w:rsidRDefault="00735AAD" w:rsidP="00735AAD">
            <w:pPr>
              <w:pStyle w:val="Akapitzlist"/>
              <w:numPr>
                <w:ilvl w:val="0"/>
                <w:numId w:val="16"/>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Wartość brutto – pole liczbowe prezentujące wartości z dokładnością do dwóch miejsc po przecinku</w:t>
            </w:r>
          </w:p>
          <w:p w14:paraId="498082EF" w14:textId="77777777" w:rsidR="00735AAD" w:rsidRPr="00735AAD" w:rsidRDefault="00735AAD" w:rsidP="00735AAD">
            <w:pPr>
              <w:pStyle w:val="Akapitzlist"/>
              <w:numPr>
                <w:ilvl w:val="0"/>
                <w:numId w:val="16"/>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Osoba odpowiedzialna za realizację umowy - pole wyboru użytkownika SEOD lub jednostki organizacyjnej</w:t>
            </w:r>
          </w:p>
          <w:p w14:paraId="622BDB4C" w14:textId="77777777" w:rsidR="00735AAD" w:rsidRPr="00735AAD" w:rsidRDefault="00735AAD" w:rsidP="00735AAD">
            <w:pPr>
              <w:pStyle w:val="Akapitzlist"/>
              <w:numPr>
                <w:ilvl w:val="0"/>
                <w:numId w:val="16"/>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Okres wypowiedzenia – pole tekstowe</w:t>
            </w:r>
          </w:p>
          <w:p w14:paraId="4788DB0F" w14:textId="77777777" w:rsidR="00735AAD" w:rsidRPr="00735AAD" w:rsidRDefault="00735AAD" w:rsidP="00735AAD">
            <w:pPr>
              <w:pStyle w:val="Akapitzlist"/>
              <w:numPr>
                <w:ilvl w:val="0"/>
                <w:numId w:val="16"/>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Przypomnienie – pole liczbowe gdzie można wpisać wartość na ile dni przed końcem umowy ma być wygenerowane przypomnienie dla osób odpowiedzialnych za realizację</w:t>
            </w:r>
          </w:p>
          <w:p w14:paraId="6848B03A" w14:textId="77777777" w:rsidR="00735AAD" w:rsidRPr="00735AAD" w:rsidRDefault="00735AAD" w:rsidP="00735AAD">
            <w:pPr>
              <w:pStyle w:val="Akapitzlist"/>
              <w:numPr>
                <w:ilvl w:val="0"/>
                <w:numId w:val="15"/>
              </w:numPr>
              <w:autoSpaceDN w:val="0"/>
              <w:spacing w:after="0" w:line="254" w:lineRule="auto"/>
              <w:jc w:val="both"/>
              <w:rPr>
                <w:rFonts w:ascii="Times New Roman" w:hAnsi="Times New Roman" w:cs="Times New Roman"/>
              </w:rPr>
            </w:pPr>
            <w:r w:rsidRPr="00735AAD">
              <w:rPr>
                <w:rFonts w:ascii="Times New Roman" w:hAnsi="Times New Roman" w:cs="Times New Roman"/>
              </w:rPr>
              <w:t>Umowa przetargowa</w:t>
            </w:r>
          </w:p>
          <w:p w14:paraId="479DA2D9" w14:textId="77777777" w:rsidR="00735AAD" w:rsidRPr="00735AAD" w:rsidRDefault="00735AAD" w:rsidP="00735AAD">
            <w:pPr>
              <w:pStyle w:val="Akapitzlist"/>
              <w:numPr>
                <w:ilvl w:val="0"/>
                <w:numId w:val="17"/>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Kontrahent – pole wyboru kontrahenta z bazy kontrahentów SEOD z możliwością założenia nowego kontrahenta którego nie ma w bazie.</w:t>
            </w:r>
          </w:p>
          <w:p w14:paraId="057D2964" w14:textId="77777777" w:rsidR="00735AAD" w:rsidRPr="00735AAD" w:rsidRDefault="00735AAD" w:rsidP="00735AAD">
            <w:pPr>
              <w:pStyle w:val="Akapitzlist"/>
              <w:numPr>
                <w:ilvl w:val="0"/>
                <w:numId w:val="17"/>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Data zawarcia umowy – pole z wyborem daty z kalendarza.</w:t>
            </w:r>
          </w:p>
          <w:p w14:paraId="2DA98A8A" w14:textId="77777777" w:rsidR="00735AAD" w:rsidRPr="00735AAD" w:rsidRDefault="00735AAD" w:rsidP="00735AAD">
            <w:pPr>
              <w:pStyle w:val="Akapitzlist"/>
              <w:numPr>
                <w:ilvl w:val="0"/>
                <w:numId w:val="17"/>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Data rozpoczęcia obowiązywania umowy – pole z wyborem daty z kalendarza.</w:t>
            </w:r>
          </w:p>
          <w:p w14:paraId="5C34A639" w14:textId="77777777" w:rsidR="00735AAD" w:rsidRPr="00735AAD" w:rsidRDefault="00735AAD" w:rsidP="00735AAD">
            <w:pPr>
              <w:pStyle w:val="Akapitzlist"/>
              <w:numPr>
                <w:ilvl w:val="0"/>
                <w:numId w:val="17"/>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Data rozpoczęcia obowiązywania umowy – pole z wyborem daty z kalendarza.</w:t>
            </w:r>
          </w:p>
          <w:p w14:paraId="6AD9CD98" w14:textId="77777777" w:rsidR="00735AAD" w:rsidRPr="00735AAD" w:rsidRDefault="00735AAD" w:rsidP="00735AAD">
            <w:pPr>
              <w:pStyle w:val="Akapitzlist"/>
              <w:numPr>
                <w:ilvl w:val="0"/>
                <w:numId w:val="17"/>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Wartość netto – pole liczbowe, prezentujące wartości z dokładnością do dwóch miejsc po przecinku.</w:t>
            </w:r>
          </w:p>
          <w:p w14:paraId="40B127D8" w14:textId="77777777" w:rsidR="00735AAD" w:rsidRPr="00735AAD" w:rsidRDefault="00735AAD" w:rsidP="00735AAD">
            <w:pPr>
              <w:pStyle w:val="Akapitzlist"/>
              <w:numPr>
                <w:ilvl w:val="0"/>
                <w:numId w:val="17"/>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Wartość brutto – pole liczbowe prezentujące wartości z dokładnością do dwóch miejsc po przecinku.</w:t>
            </w:r>
          </w:p>
          <w:p w14:paraId="67526B66" w14:textId="77777777" w:rsidR="00735AAD" w:rsidRPr="00735AAD" w:rsidRDefault="00735AAD" w:rsidP="00735AAD">
            <w:pPr>
              <w:pStyle w:val="Akapitzlist"/>
              <w:numPr>
                <w:ilvl w:val="0"/>
                <w:numId w:val="17"/>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Osoba odpowiedzialna za realizację umowy - pole wyboru użytkownika SEOD lub jednostki organizacyjnej.</w:t>
            </w:r>
          </w:p>
          <w:p w14:paraId="5FEF1167" w14:textId="77777777" w:rsidR="00735AAD" w:rsidRPr="00735AAD" w:rsidRDefault="00735AAD" w:rsidP="00735AAD">
            <w:pPr>
              <w:pStyle w:val="Akapitzlist"/>
              <w:numPr>
                <w:ilvl w:val="0"/>
                <w:numId w:val="17"/>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Dodatkowo informowani użytkownicy – pole wyboru użytkowników SEOD którzy mają być powiadomieni o zarejestrowaniu umowy.</w:t>
            </w:r>
          </w:p>
        </w:tc>
        <w:tc>
          <w:tcPr>
            <w:tcW w:w="1246" w:type="dxa"/>
            <w:tcBorders>
              <w:top w:val="single" w:sz="4" w:space="0" w:color="000000"/>
              <w:left w:val="single" w:sz="4" w:space="0" w:color="000000"/>
              <w:bottom w:val="single" w:sz="4" w:space="0" w:color="000000"/>
              <w:right w:val="single" w:sz="4" w:space="0" w:color="000000"/>
            </w:tcBorders>
            <w:vAlign w:val="center"/>
          </w:tcPr>
          <w:p w14:paraId="717B8517"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144067317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2AADBA0B" w14:textId="77777777" w:rsidR="00735AAD" w:rsidRPr="00735AAD" w:rsidRDefault="007E4232" w:rsidP="00735AAD">
            <w:pPr>
              <w:pStyle w:val="Bezodstpw"/>
              <w:rPr>
                <w:rFonts w:ascii="Times New Roman" w:hAnsi="Times New Roman" w:cs="Times New Roman"/>
              </w:rPr>
            </w:pPr>
            <w:sdt>
              <w:sdtPr>
                <w:rPr>
                  <w:rFonts w:ascii="Times New Roman" w:eastAsia="Calibri" w:hAnsi="Times New Roman" w:cs="Times New Roman"/>
                </w:rPr>
                <w:id w:val="-129112195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4B5BD1B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66230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5AFBA5"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Zarejestrowanie umowy przetargowej, która wpłynęła do organizacji w formie papierowej i została wcześniej oklejona kodem kreskowym wygenerowanym z SEOD i zeskanowana do SEOD, z zastosowaniem modułu AI, który automatycznie wprowadzi do formularza rejestracji umowy minimum następujące dane:</w:t>
            </w:r>
          </w:p>
          <w:p w14:paraId="3974A795" w14:textId="77777777" w:rsidR="00735AAD" w:rsidRPr="00735AAD" w:rsidRDefault="00735AAD" w:rsidP="00735AAD">
            <w:pPr>
              <w:pStyle w:val="Akapitzlist"/>
              <w:numPr>
                <w:ilvl w:val="0"/>
                <w:numId w:val="18"/>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Kontrahent - wskazanie z istniejącej bazy danych kontrahentów SEOD na podstawie odczytanej przez moduł AI numeru NIP kontrahenta;</w:t>
            </w:r>
          </w:p>
          <w:p w14:paraId="4B4DD346" w14:textId="77777777" w:rsidR="00735AAD" w:rsidRPr="00735AAD" w:rsidRDefault="00735AAD" w:rsidP="00735AAD">
            <w:pPr>
              <w:pStyle w:val="Akapitzlist"/>
              <w:numPr>
                <w:ilvl w:val="0"/>
                <w:numId w:val="18"/>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Datę zawarcia umowy;</w:t>
            </w:r>
          </w:p>
          <w:p w14:paraId="03AEFD99" w14:textId="77777777" w:rsidR="00735AAD" w:rsidRPr="00735AAD" w:rsidRDefault="00735AAD" w:rsidP="00735AAD">
            <w:pPr>
              <w:pStyle w:val="Akapitzlist"/>
              <w:numPr>
                <w:ilvl w:val="0"/>
                <w:numId w:val="18"/>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Datę rozpoczęcia obowiązywania umowy;</w:t>
            </w:r>
          </w:p>
          <w:p w14:paraId="6B438FE6" w14:textId="77777777" w:rsidR="00735AAD" w:rsidRPr="00735AAD" w:rsidRDefault="00735AAD" w:rsidP="00735AAD">
            <w:pPr>
              <w:pStyle w:val="Akapitzlist"/>
              <w:numPr>
                <w:ilvl w:val="0"/>
                <w:numId w:val="18"/>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Datę zakończenia obowiązywania umowy;</w:t>
            </w:r>
          </w:p>
          <w:p w14:paraId="19F46909" w14:textId="77777777" w:rsidR="00735AAD" w:rsidRPr="00735AAD" w:rsidRDefault="00735AAD" w:rsidP="00735AAD">
            <w:pPr>
              <w:pStyle w:val="Akapitzlist"/>
              <w:numPr>
                <w:ilvl w:val="0"/>
                <w:numId w:val="18"/>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Wartość netto;</w:t>
            </w:r>
          </w:p>
          <w:p w14:paraId="506E491F" w14:textId="77777777" w:rsidR="00735AAD" w:rsidRPr="00735AAD" w:rsidRDefault="00735AAD" w:rsidP="00735AAD">
            <w:pPr>
              <w:pStyle w:val="Akapitzlist"/>
              <w:numPr>
                <w:ilvl w:val="0"/>
                <w:numId w:val="18"/>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Wartość brutto;</w:t>
            </w:r>
          </w:p>
          <w:p w14:paraId="31F815B6"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Pozostałe dane w formularzu rejestracyjnym umowy, w tym minimalnie wskazanie osoby odpowiedzialnej za realizację umowy należy uzupełnić ręcznie.</w:t>
            </w:r>
          </w:p>
          <w:p w14:paraId="1565ACBA" w14:textId="77777777" w:rsidR="00735AAD" w:rsidRPr="00735AAD" w:rsidRDefault="00735AAD" w:rsidP="00735AAD">
            <w:pPr>
              <w:jc w:val="both"/>
              <w:rPr>
                <w:rFonts w:ascii="Times New Roman" w:hAnsi="Times New Roman" w:cs="Times New Roman"/>
              </w:rPr>
            </w:pPr>
            <w:r w:rsidRPr="00735AAD">
              <w:rPr>
                <w:rFonts w:ascii="Times New Roman" w:hAnsi="Times New Roman" w:cs="Times New Roman"/>
              </w:rPr>
              <w:lastRenderedPageBreak/>
              <w:t xml:space="preserve">Po zarejestrowaniu umowy pokazanie, że użytkownik wskazany jako osoba odpowiedzialna za realizację umowy – dostała powiadomienie w formie nowego zadania o zarejestrowaniu umowy. </w:t>
            </w:r>
          </w:p>
        </w:tc>
        <w:tc>
          <w:tcPr>
            <w:tcW w:w="1246" w:type="dxa"/>
            <w:tcBorders>
              <w:top w:val="single" w:sz="4" w:space="0" w:color="000000"/>
              <w:left w:val="single" w:sz="4" w:space="0" w:color="000000"/>
              <w:bottom w:val="single" w:sz="4" w:space="0" w:color="000000"/>
              <w:right w:val="single" w:sz="4" w:space="0" w:color="000000"/>
            </w:tcBorders>
            <w:vAlign w:val="center"/>
          </w:tcPr>
          <w:p w14:paraId="78A02B97"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11186475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33B53FC2"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3342228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60E7CB97"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C8923F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4355CF9"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Na etapie opisu merytorycznego faktury wskazanie z rejestru umów umowy, której dotyczy dana faktura. Powiązanie umowy z fakturą musi być widoczne w SEOD z poziomu umowy, jak też w teczce faktury na pozycjach faktury przypisanych do danej umowy.</w:t>
            </w:r>
          </w:p>
          <w:p w14:paraId="1E3C96AC" w14:textId="77777777" w:rsidR="00735AAD" w:rsidRPr="00735AAD" w:rsidRDefault="00735AAD" w:rsidP="00735AAD">
            <w:pPr>
              <w:autoSpaceDN w:val="0"/>
              <w:spacing w:after="0" w:line="254" w:lineRule="auto"/>
              <w:jc w:val="both"/>
              <w:rPr>
                <w:rFonts w:ascii="Times New Roman" w:hAnsi="Times New Roman" w:cs="Times New Roman"/>
              </w:rPr>
            </w:pPr>
          </w:p>
          <w:p w14:paraId="156D12A3"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 xml:space="preserve">Należy zaprezentować, że od całej wartości umowy odliczona została wartość przypiętych pod nią pozycji faktury i że w teczce danej umowy widoczna jest lista powiązanych z daną umową faktur oraz jest możliwość bezpośredniego przejścia do danej faktury (teczki danej faktury).  </w:t>
            </w:r>
          </w:p>
        </w:tc>
        <w:tc>
          <w:tcPr>
            <w:tcW w:w="1246" w:type="dxa"/>
            <w:tcBorders>
              <w:top w:val="single" w:sz="4" w:space="0" w:color="000000"/>
              <w:left w:val="single" w:sz="4" w:space="0" w:color="000000"/>
              <w:bottom w:val="single" w:sz="4" w:space="0" w:color="000000"/>
              <w:right w:val="single" w:sz="4" w:space="0" w:color="000000"/>
            </w:tcBorders>
            <w:vAlign w:val="center"/>
          </w:tcPr>
          <w:p w14:paraId="1470BC01"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59381820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43E91C1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0914387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61773FA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77A37E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6BF3670"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Należy zaprezentować rejestr umów z widocznymi minimalnie kolumnami:</w:t>
            </w:r>
          </w:p>
          <w:p w14:paraId="50985641" w14:textId="77777777" w:rsidR="00735AAD" w:rsidRPr="00735AAD" w:rsidRDefault="00735AAD" w:rsidP="00735AAD">
            <w:pPr>
              <w:pStyle w:val="Akapitzlist"/>
              <w:numPr>
                <w:ilvl w:val="0"/>
                <w:numId w:val="19"/>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Numer umowy;</w:t>
            </w:r>
          </w:p>
          <w:p w14:paraId="7F31E735" w14:textId="77777777" w:rsidR="00735AAD" w:rsidRPr="00735AAD" w:rsidRDefault="00735AAD" w:rsidP="00735AAD">
            <w:pPr>
              <w:pStyle w:val="Akapitzlist"/>
              <w:numPr>
                <w:ilvl w:val="0"/>
                <w:numId w:val="19"/>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Kontrahent główny;</w:t>
            </w:r>
          </w:p>
          <w:p w14:paraId="387FD62A" w14:textId="77777777" w:rsidR="00735AAD" w:rsidRPr="00735AAD" w:rsidRDefault="00735AAD" w:rsidP="00735AAD">
            <w:pPr>
              <w:pStyle w:val="Akapitzlist"/>
              <w:numPr>
                <w:ilvl w:val="0"/>
                <w:numId w:val="19"/>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Data zawarcia umowy;</w:t>
            </w:r>
          </w:p>
          <w:p w14:paraId="1B47D11E" w14:textId="77777777" w:rsidR="00735AAD" w:rsidRPr="00735AAD" w:rsidRDefault="00735AAD" w:rsidP="00735AAD">
            <w:pPr>
              <w:pStyle w:val="Akapitzlist"/>
              <w:numPr>
                <w:ilvl w:val="0"/>
                <w:numId w:val="19"/>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Wartość netto;</w:t>
            </w:r>
          </w:p>
          <w:p w14:paraId="2D2E26CB" w14:textId="77777777" w:rsidR="00735AAD" w:rsidRPr="00735AAD" w:rsidRDefault="00735AAD" w:rsidP="00735AAD">
            <w:pPr>
              <w:pStyle w:val="Akapitzlist"/>
              <w:numPr>
                <w:ilvl w:val="0"/>
                <w:numId w:val="19"/>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Wartość brutto;</w:t>
            </w:r>
          </w:p>
          <w:p w14:paraId="5E930ABE" w14:textId="77777777" w:rsidR="00735AAD" w:rsidRPr="00735AAD" w:rsidRDefault="00735AAD" w:rsidP="00735AAD">
            <w:pPr>
              <w:pStyle w:val="Akapitzlist"/>
              <w:numPr>
                <w:ilvl w:val="0"/>
                <w:numId w:val="19"/>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Rodzaj umowy;</w:t>
            </w:r>
          </w:p>
          <w:p w14:paraId="4A10026D" w14:textId="77777777" w:rsidR="00735AAD" w:rsidRPr="00735AAD" w:rsidRDefault="00735AAD" w:rsidP="00735AAD">
            <w:pPr>
              <w:pStyle w:val="Akapitzlist"/>
              <w:numPr>
                <w:ilvl w:val="0"/>
                <w:numId w:val="19"/>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Zrealizowana kwota (pokazująca łączną wartość powiązanych z umową faktur);</w:t>
            </w:r>
          </w:p>
          <w:p w14:paraId="6339DC8C" w14:textId="77777777" w:rsidR="00735AAD" w:rsidRPr="00735AAD" w:rsidRDefault="00735AAD" w:rsidP="00735AAD">
            <w:pPr>
              <w:pStyle w:val="Akapitzlist"/>
              <w:numPr>
                <w:ilvl w:val="0"/>
                <w:numId w:val="19"/>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Kwota pozostała (pokazująca pozostałą do wykorzystania wartość umowy po odliczeniu wartości powiązanych z nią faktur);</w:t>
            </w:r>
          </w:p>
          <w:p w14:paraId="3DCED59B" w14:textId="77777777" w:rsidR="00735AAD" w:rsidRPr="00735AAD" w:rsidRDefault="00735AAD" w:rsidP="00735AAD">
            <w:pPr>
              <w:pStyle w:val="Akapitzlist"/>
              <w:numPr>
                <w:ilvl w:val="0"/>
                <w:numId w:val="19"/>
              </w:numPr>
              <w:autoSpaceDN w:val="0"/>
              <w:spacing w:after="0" w:line="254" w:lineRule="auto"/>
              <w:ind w:left="1064"/>
              <w:jc w:val="both"/>
              <w:rPr>
                <w:rFonts w:ascii="Times New Roman" w:hAnsi="Times New Roman" w:cs="Times New Roman"/>
              </w:rPr>
            </w:pPr>
            <w:r w:rsidRPr="00735AAD">
              <w:rPr>
                <w:rFonts w:ascii="Times New Roman" w:eastAsiaTheme="minorHAnsi" w:hAnsi="Times New Roman" w:cs="Times New Roman"/>
              </w:rPr>
              <w:t>% zużycia umowy (wartość wykorzystanej umowy – powiązanej z fakturami w ujęciu procentowym).</w:t>
            </w:r>
          </w:p>
        </w:tc>
        <w:tc>
          <w:tcPr>
            <w:tcW w:w="1246" w:type="dxa"/>
            <w:tcBorders>
              <w:top w:val="single" w:sz="4" w:space="0" w:color="000000"/>
              <w:left w:val="single" w:sz="4" w:space="0" w:color="000000"/>
              <w:bottom w:val="single" w:sz="4" w:space="0" w:color="000000"/>
              <w:right w:val="single" w:sz="4" w:space="0" w:color="000000"/>
            </w:tcBorders>
            <w:vAlign w:val="center"/>
          </w:tcPr>
          <w:p w14:paraId="42E5609E"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2090685621"/>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74B867E9"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4873123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7EC345F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6D25DDC"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5</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67997D"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Wygenerowanie na zarejestrowanej umowie powiadomienia „ad hoc” do wybranego użytkownika SEOD w systemie (nie w formie maila tylko informacji/zadania w SEOD), że dana umowa wymaga przygotowania aneksu. Pokazanie, że wskazany użytkownik takie powiadomienie otrzymał.</w:t>
            </w:r>
          </w:p>
        </w:tc>
        <w:tc>
          <w:tcPr>
            <w:tcW w:w="1246" w:type="dxa"/>
            <w:tcBorders>
              <w:top w:val="single" w:sz="4" w:space="0" w:color="000000"/>
              <w:left w:val="single" w:sz="4" w:space="0" w:color="000000"/>
              <w:bottom w:val="single" w:sz="4" w:space="0" w:color="000000"/>
              <w:right w:val="single" w:sz="4" w:space="0" w:color="000000"/>
            </w:tcBorders>
            <w:vAlign w:val="center"/>
          </w:tcPr>
          <w:p w14:paraId="04781EB7"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20927401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0F3EFED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64871431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0AACFE47" w14:textId="77777777" w:rsidTr="00735AAD">
        <w:trPr>
          <w:trHeight w:val="454"/>
        </w:trPr>
        <w:tc>
          <w:tcPr>
            <w:tcW w:w="10460" w:type="dxa"/>
            <w:gridSpan w:val="3"/>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245FCFA0" w14:textId="77777777" w:rsidR="00735AAD" w:rsidRPr="00735AAD" w:rsidRDefault="00735AAD" w:rsidP="00735AAD">
            <w:pPr>
              <w:pStyle w:val="Bezodstpw"/>
              <w:jc w:val="center"/>
              <w:rPr>
                <w:rFonts w:ascii="Times New Roman" w:eastAsia="MS Gothic" w:hAnsi="Times New Roman" w:cs="Times New Roman"/>
              </w:rPr>
            </w:pPr>
            <w:r w:rsidRPr="00735AAD">
              <w:rPr>
                <w:rFonts w:ascii="Times New Roman" w:hAnsi="Times New Roman" w:cs="Times New Roman"/>
                <w:b/>
              </w:rPr>
              <w:t>Rejestr i obieg faktur SEOD</w:t>
            </w:r>
          </w:p>
        </w:tc>
      </w:tr>
      <w:tr w:rsidR="00735AAD" w:rsidRPr="00735AAD" w14:paraId="7534918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9A39268"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6</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334647F"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Zarejestrowanie faktury papierowej, wcześniej oklejonej kodem kreskowym wygenerowanym z SEOD i zeskanowanej do SEOD, podpięcie do formularza rejestracyjnego skanu dokumentu na podstawie wprowadzenia do formularza rejestracji kodu kreskowego faktury. Faktura powinna zawierać minimum 3 pozycje.</w:t>
            </w:r>
          </w:p>
        </w:tc>
        <w:tc>
          <w:tcPr>
            <w:tcW w:w="1246" w:type="dxa"/>
            <w:tcBorders>
              <w:top w:val="single" w:sz="4" w:space="0" w:color="000000"/>
              <w:left w:val="single" w:sz="4" w:space="0" w:color="000000"/>
              <w:bottom w:val="single" w:sz="4" w:space="0" w:color="000000"/>
              <w:right w:val="single" w:sz="4" w:space="0" w:color="000000"/>
            </w:tcBorders>
            <w:vAlign w:val="center"/>
          </w:tcPr>
          <w:p w14:paraId="0BFFFEE8"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43117120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76E2C88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37049716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2E166604"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CBF70CE"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7</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75798C7"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Wykorzystanie do rejestracji faktury mechanizmu OCR, który w automatyczny sposób odczyta z rejestrowanej faktury i wprowadzi do formularza rejestracji faktury następujące dane:</w:t>
            </w:r>
          </w:p>
          <w:p w14:paraId="568CF391" w14:textId="77777777" w:rsidR="00735AAD" w:rsidRPr="00735AAD" w:rsidRDefault="00735AAD" w:rsidP="00735AAD">
            <w:pPr>
              <w:pStyle w:val="Akapitzlist"/>
              <w:numPr>
                <w:ilvl w:val="0"/>
                <w:numId w:val="20"/>
              </w:numPr>
              <w:autoSpaceDN w:val="0"/>
              <w:spacing w:after="0" w:line="254" w:lineRule="auto"/>
              <w:ind w:left="1064"/>
              <w:jc w:val="both"/>
              <w:rPr>
                <w:rFonts w:ascii="Times New Roman" w:hAnsi="Times New Roman" w:cs="Times New Roman"/>
              </w:rPr>
            </w:pPr>
            <w:r w:rsidRPr="00735AAD">
              <w:rPr>
                <w:rFonts w:ascii="Times New Roman" w:hAnsi="Times New Roman" w:cs="Times New Roman"/>
              </w:rPr>
              <w:t>Nazwę kontrahenta (na podstawie odczytanego z faktury nr NIP i wyszukania w bazie danych SEOD istniejącego kontrahenta);</w:t>
            </w:r>
          </w:p>
          <w:p w14:paraId="7868E361" w14:textId="77777777" w:rsidR="00735AAD" w:rsidRPr="00735AAD" w:rsidRDefault="00735AAD" w:rsidP="00735AAD">
            <w:pPr>
              <w:pStyle w:val="Akapitzlist"/>
              <w:numPr>
                <w:ilvl w:val="0"/>
                <w:numId w:val="20"/>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Nr faktury;</w:t>
            </w:r>
          </w:p>
          <w:p w14:paraId="6AE7FB0B" w14:textId="77777777" w:rsidR="00735AAD" w:rsidRPr="00735AAD" w:rsidRDefault="00735AAD" w:rsidP="00735AAD">
            <w:pPr>
              <w:pStyle w:val="Akapitzlist"/>
              <w:numPr>
                <w:ilvl w:val="0"/>
                <w:numId w:val="20"/>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Datę wystawienia;</w:t>
            </w:r>
          </w:p>
          <w:p w14:paraId="6096CA1B" w14:textId="77777777" w:rsidR="00735AAD" w:rsidRPr="00735AAD" w:rsidRDefault="00735AAD" w:rsidP="00735AAD">
            <w:pPr>
              <w:pStyle w:val="Akapitzlist"/>
              <w:numPr>
                <w:ilvl w:val="0"/>
                <w:numId w:val="20"/>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Datę sprzedaży;</w:t>
            </w:r>
          </w:p>
          <w:p w14:paraId="13D46A6B" w14:textId="77777777" w:rsidR="00735AAD" w:rsidRPr="00735AAD" w:rsidRDefault="00735AAD" w:rsidP="00735AAD">
            <w:pPr>
              <w:pStyle w:val="Akapitzlist"/>
              <w:numPr>
                <w:ilvl w:val="0"/>
                <w:numId w:val="20"/>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Numer konta bankowego;</w:t>
            </w:r>
          </w:p>
          <w:p w14:paraId="570340F8" w14:textId="77777777" w:rsidR="00735AAD" w:rsidRPr="00735AAD" w:rsidRDefault="00735AAD" w:rsidP="00735AAD">
            <w:pPr>
              <w:pStyle w:val="Akapitzlist"/>
              <w:numPr>
                <w:ilvl w:val="0"/>
                <w:numId w:val="20"/>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Termin płatności;</w:t>
            </w:r>
          </w:p>
          <w:p w14:paraId="32E0497B" w14:textId="77777777" w:rsidR="00735AAD" w:rsidRPr="00735AAD" w:rsidRDefault="00735AAD" w:rsidP="00735AAD">
            <w:pPr>
              <w:pStyle w:val="Akapitzlist"/>
              <w:numPr>
                <w:ilvl w:val="0"/>
                <w:numId w:val="20"/>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Stawki VAT, podsumowanie stawek;</w:t>
            </w:r>
          </w:p>
          <w:p w14:paraId="616FAFED" w14:textId="77777777" w:rsidR="00735AAD" w:rsidRPr="00735AAD" w:rsidRDefault="00735AAD" w:rsidP="00735AAD">
            <w:pPr>
              <w:pStyle w:val="Akapitzlist"/>
              <w:numPr>
                <w:ilvl w:val="0"/>
                <w:numId w:val="20"/>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Wartość netto i brutto;</w:t>
            </w:r>
          </w:p>
          <w:p w14:paraId="14BCF270" w14:textId="77777777" w:rsidR="00735AAD" w:rsidRPr="00735AAD" w:rsidRDefault="00735AAD" w:rsidP="00735AAD">
            <w:pPr>
              <w:pStyle w:val="Akapitzlist"/>
              <w:numPr>
                <w:ilvl w:val="0"/>
                <w:numId w:val="20"/>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Sposób płatności (np. przelew, gotówka).</w:t>
            </w:r>
          </w:p>
          <w:p w14:paraId="2FAD7646"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SEOD musi automatycznie wprowadzić dane do formularza rejestracji faktury bez potrzeby ich uzupełniania przez użytkownika.</w:t>
            </w:r>
          </w:p>
        </w:tc>
        <w:tc>
          <w:tcPr>
            <w:tcW w:w="1246" w:type="dxa"/>
            <w:tcBorders>
              <w:top w:val="single" w:sz="4" w:space="0" w:color="000000"/>
              <w:left w:val="single" w:sz="4" w:space="0" w:color="000000"/>
              <w:bottom w:val="single" w:sz="4" w:space="0" w:color="000000"/>
              <w:right w:val="single" w:sz="4" w:space="0" w:color="000000"/>
            </w:tcBorders>
            <w:vAlign w:val="center"/>
          </w:tcPr>
          <w:p w14:paraId="2C9F2F20"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115768104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71DFB45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25380703"/>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4F8B4ABD"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547D66"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lastRenderedPageBreak/>
              <w:t>8</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05B72A5"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Prezentacja wykorzystania kontekstowego OCR w oknie rejestracji faktury. W przypadku braku odczytu któregoś z pól na wybranej fakturze, lub po ręcznym usunięciu sczytanej wcześniej przez OCR wartości zaznaczenie jednego z w/w pól na dokumencie/skanie faktury oraz automatyczne przypisanie rozpoznanego tekstu do danego pola na formularzu rejestracji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0F49ED73"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39666323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22270F86"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7539344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70F975A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DBF244E"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9</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8E0908A"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Dekretacja faktury na etap opisu merytorycznego poprzez wybranie ścieżki obiegu faktury np. magazynowa, apteczna, kontraktowa. Po wskazaniu ścieżki obiegu faktury (typu faktury) automatycznie musi podpowiedzieć się użytkownik lub jednostka organizacyjna do której trafi dany dokument do opisu merytorycznego.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7A15CD8E"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208372403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317BAF1B"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3955307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065CBAD6"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D234F27"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10</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EA049BC"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Opis merytoryczny faktury. Do pozycji opisu merytorycznego faktury należy przypisać z pól słownikowych koszt rodzajowy i MPK (OPK). Należy zawrzeć w opisie merytorycznym minimum dwie pozycje. Każdą pozycję należy opisać innym kosztem rodzajowym i innym MPK (OPK) oraz powiązać z umową – wskazać z rejestru umów umowę której dana faktura dotyczy. Powiązanie to musi być widoczne przy każdej pozycji opisu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26397E7A"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81707651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06B5C53F"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205145092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147E69CB"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E785905"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11</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9FBCDE9"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Opis merytoryczny faktury z wykorzystaniem szablonów kosztów. Opis merytoryczny faktury poprzez wskazanie szablonu kosztów „energia”.</w:t>
            </w:r>
          </w:p>
          <w:p w14:paraId="2C174D38"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Faktura powinna zostać rozpisana na minimum 5 pozycji. Dla każdej pozycji powinien być przypisany ze słowników dostępnych w SEOD:</w:t>
            </w:r>
          </w:p>
          <w:p w14:paraId="14FA3490" w14:textId="77777777" w:rsidR="00735AAD" w:rsidRPr="00735AAD" w:rsidRDefault="00735AAD" w:rsidP="00735AAD">
            <w:pPr>
              <w:pStyle w:val="Akapitzlist"/>
              <w:numPr>
                <w:ilvl w:val="0"/>
                <w:numId w:val="21"/>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Ten sam koszt rodzajowy (401 zużycie materiałów i energii);</w:t>
            </w:r>
          </w:p>
          <w:p w14:paraId="5DBF3C45" w14:textId="77777777" w:rsidR="00735AAD" w:rsidRPr="00735AAD" w:rsidRDefault="00735AAD" w:rsidP="00735AAD">
            <w:pPr>
              <w:pStyle w:val="Akapitzlist"/>
              <w:numPr>
                <w:ilvl w:val="0"/>
                <w:numId w:val="21"/>
              </w:numPr>
              <w:autoSpaceDN w:val="0"/>
              <w:spacing w:after="0" w:line="254" w:lineRule="auto"/>
              <w:ind w:left="1064"/>
              <w:jc w:val="both"/>
              <w:rPr>
                <w:rFonts w:ascii="Times New Roman" w:eastAsiaTheme="minorHAnsi" w:hAnsi="Times New Roman" w:cs="Times New Roman"/>
              </w:rPr>
            </w:pPr>
            <w:r w:rsidRPr="00735AAD">
              <w:rPr>
                <w:rFonts w:ascii="Times New Roman" w:eastAsiaTheme="minorHAnsi" w:hAnsi="Times New Roman" w:cs="Times New Roman"/>
              </w:rPr>
              <w:t>Inny MPK (OPK) (nazwa i symbol);</w:t>
            </w:r>
          </w:p>
          <w:p w14:paraId="0C78199B" w14:textId="77777777" w:rsidR="00735AAD" w:rsidRPr="00735AAD" w:rsidRDefault="00735AAD" w:rsidP="00735AAD">
            <w:pPr>
              <w:pStyle w:val="Akapitzlist"/>
              <w:numPr>
                <w:ilvl w:val="0"/>
                <w:numId w:val="21"/>
              </w:numPr>
              <w:autoSpaceDN w:val="0"/>
              <w:spacing w:after="0" w:line="254" w:lineRule="auto"/>
              <w:ind w:left="1064"/>
              <w:jc w:val="both"/>
              <w:rPr>
                <w:rFonts w:ascii="Times New Roman" w:hAnsi="Times New Roman" w:cs="Times New Roman"/>
              </w:rPr>
            </w:pPr>
            <w:r w:rsidRPr="00735AAD">
              <w:rPr>
                <w:rFonts w:ascii="Times New Roman" w:eastAsiaTheme="minorHAnsi" w:hAnsi="Times New Roman" w:cs="Times New Roman"/>
              </w:rPr>
              <w:t>Inna wartość pozycji opisu – gdzie łącznie wszystkie opisane pozycje co do wartości sumują się na łączną wartość faktury.</w:t>
            </w:r>
          </w:p>
        </w:tc>
        <w:tc>
          <w:tcPr>
            <w:tcW w:w="1246" w:type="dxa"/>
            <w:tcBorders>
              <w:top w:val="single" w:sz="4" w:space="0" w:color="000000"/>
              <w:left w:val="single" w:sz="4" w:space="0" w:color="000000"/>
              <w:bottom w:val="single" w:sz="4" w:space="0" w:color="000000"/>
              <w:right w:val="single" w:sz="4" w:space="0" w:color="000000"/>
            </w:tcBorders>
            <w:vAlign w:val="center"/>
          </w:tcPr>
          <w:p w14:paraId="767B106B"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182457548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6A31D327"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1260252345"/>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7A885EE5"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0AD566E"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12</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4D990F4" w14:textId="77777777" w:rsidR="00735AAD" w:rsidRPr="00735AAD" w:rsidRDefault="00735AAD" w:rsidP="00735AAD">
            <w:pPr>
              <w:autoSpaceDN w:val="0"/>
              <w:spacing w:after="0" w:line="254" w:lineRule="auto"/>
              <w:jc w:val="both"/>
              <w:rPr>
                <w:rFonts w:ascii="Times New Roman" w:hAnsi="Times New Roman" w:cs="Times New Roman"/>
              </w:rPr>
            </w:pPr>
            <w:proofErr w:type="spellStart"/>
            <w:r w:rsidRPr="00735AAD">
              <w:rPr>
                <w:rFonts w:ascii="Times New Roman" w:hAnsi="Times New Roman" w:cs="Times New Roman"/>
              </w:rPr>
              <w:t>Wyedytowanie</w:t>
            </w:r>
            <w:proofErr w:type="spellEnd"/>
            <w:r w:rsidRPr="00735AAD">
              <w:rPr>
                <w:rFonts w:ascii="Times New Roman" w:hAnsi="Times New Roman" w:cs="Times New Roman"/>
              </w:rPr>
              <w:t xml:space="preserve"> i ręczna zmiana wartości dwóch wybranych pozycji opisu merytorycznego wygenerowanego z szablonu kosztów „energia” – tak aby dalej utrzymać łączną wartość faktury, a zmienić jedynie udziały wartościowe poszczególnych pozycji opisu merytorycznego.</w:t>
            </w:r>
          </w:p>
        </w:tc>
        <w:tc>
          <w:tcPr>
            <w:tcW w:w="1246" w:type="dxa"/>
            <w:tcBorders>
              <w:top w:val="single" w:sz="4" w:space="0" w:color="000000"/>
              <w:left w:val="single" w:sz="4" w:space="0" w:color="000000"/>
              <w:bottom w:val="single" w:sz="4" w:space="0" w:color="000000"/>
              <w:right w:val="single" w:sz="4" w:space="0" w:color="000000"/>
            </w:tcBorders>
            <w:vAlign w:val="center"/>
          </w:tcPr>
          <w:p w14:paraId="499AB60F"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70856205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4F4739FC"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497082759"/>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4A5CE44F"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CAD7C0A"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13</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67C676C"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Wygenerowanie metryki faktury w formacie pdf zawierającej minimalnie dane nagłówkowe faktury, łączną kwotę brutto, pozycje opisu merytorycznego, historię obiegu i akceptacji dokumentu.</w:t>
            </w:r>
          </w:p>
        </w:tc>
        <w:tc>
          <w:tcPr>
            <w:tcW w:w="1246" w:type="dxa"/>
            <w:tcBorders>
              <w:top w:val="single" w:sz="4" w:space="0" w:color="000000"/>
              <w:left w:val="single" w:sz="4" w:space="0" w:color="000000"/>
              <w:bottom w:val="single" w:sz="4" w:space="0" w:color="000000"/>
              <w:right w:val="single" w:sz="4" w:space="0" w:color="000000"/>
            </w:tcBorders>
            <w:vAlign w:val="center"/>
          </w:tcPr>
          <w:p w14:paraId="6D986144"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151140854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09D84F0A"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542138300"/>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27CB472C" w14:textId="77777777" w:rsidTr="00735AAD">
        <w:trPr>
          <w:trHeight w:val="283"/>
        </w:trPr>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8AF94F2" w14:textId="77777777" w:rsidR="00735AAD" w:rsidRPr="00735AAD" w:rsidRDefault="00735AAD" w:rsidP="00735AAD">
            <w:pPr>
              <w:pStyle w:val="Bezodstpw"/>
              <w:jc w:val="center"/>
              <w:rPr>
                <w:rFonts w:ascii="Times New Roman" w:hAnsi="Times New Roman" w:cs="Times New Roman"/>
                <w:bCs/>
              </w:rPr>
            </w:pPr>
            <w:r w:rsidRPr="00735AAD">
              <w:rPr>
                <w:rFonts w:ascii="Times New Roman" w:hAnsi="Times New Roman" w:cs="Times New Roman"/>
                <w:bCs/>
              </w:rPr>
              <w:t>14</w:t>
            </w:r>
          </w:p>
        </w:tc>
        <w:tc>
          <w:tcPr>
            <w:tcW w:w="822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2F1F77C"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Próba rejestracji tej samej faktury, którą kontrahent przysłał w wersji papierowej i została zeskanowana i wprowadzona do SEOD, a którą kontrahent przysłał również mailem zintegrowanym z SEOD i która w wersji mailowej nie zawiera kodu kreskowego.  Pokazanie, że SEOD uniemożliwia rejestrację tej samej faktury (powtarzającego się nr faktury od danego kontrahenta).</w:t>
            </w:r>
          </w:p>
        </w:tc>
        <w:tc>
          <w:tcPr>
            <w:tcW w:w="1246" w:type="dxa"/>
            <w:tcBorders>
              <w:top w:val="single" w:sz="4" w:space="0" w:color="000000"/>
              <w:left w:val="single" w:sz="4" w:space="0" w:color="000000"/>
              <w:bottom w:val="single" w:sz="4" w:space="0" w:color="000000"/>
              <w:right w:val="single" w:sz="4" w:space="0" w:color="000000"/>
            </w:tcBorders>
            <w:vAlign w:val="center"/>
          </w:tcPr>
          <w:p w14:paraId="07B01549" w14:textId="77777777" w:rsidR="00735AAD" w:rsidRPr="00735AAD" w:rsidRDefault="007E4232" w:rsidP="00735AAD">
            <w:pPr>
              <w:pStyle w:val="Bezodstpw"/>
              <w:rPr>
                <w:rFonts w:ascii="Times New Roman" w:eastAsia="Calibri" w:hAnsi="Times New Roman" w:cs="Times New Roman"/>
              </w:rPr>
            </w:pPr>
            <w:sdt>
              <w:sdtPr>
                <w:rPr>
                  <w:rFonts w:ascii="Times New Roman" w:eastAsia="Calibri" w:hAnsi="Times New Roman" w:cs="Times New Roman"/>
                </w:rPr>
                <w:id w:val="-154382084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092D3EB4" w14:textId="77777777" w:rsidR="00735AAD" w:rsidRPr="00735AAD" w:rsidRDefault="007E4232" w:rsidP="00735AAD">
            <w:pPr>
              <w:pStyle w:val="Bezodstpw"/>
              <w:rPr>
                <w:rFonts w:ascii="Times New Roman" w:eastAsia="MS Gothic" w:hAnsi="Times New Roman" w:cs="Times New Roman"/>
              </w:rPr>
            </w:pPr>
            <w:sdt>
              <w:sdtPr>
                <w:rPr>
                  <w:rFonts w:ascii="Times New Roman" w:eastAsia="Calibri" w:hAnsi="Times New Roman" w:cs="Times New Roman"/>
                </w:rPr>
                <w:id w:val="-311255894"/>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bl>
    <w:p w14:paraId="3C763D46" w14:textId="77777777" w:rsidR="00735AAD" w:rsidRDefault="00735AAD" w:rsidP="00735AAD">
      <w:pPr>
        <w:autoSpaceDE w:val="0"/>
        <w:autoSpaceDN w:val="0"/>
        <w:adjustRightInd w:val="0"/>
        <w:spacing w:after="0" w:line="240" w:lineRule="auto"/>
        <w:rPr>
          <w:rFonts w:ascii="Times New Roman" w:hAnsi="Times New Roman" w:cs="Times New Roman"/>
          <w:sz w:val="24"/>
          <w:szCs w:val="24"/>
        </w:rPr>
      </w:pPr>
    </w:p>
    <w:p w14:paraId="1F197B8D" w14:textId="77777777" w:rsidR="00735AAD" w:rsidRDefault="00735AAD" w:rsidP="00CA3B00">
      <w:pPr>
        <w:autoSpaceDE w:val="0"/>
        <w:autoSpaceDN w:val="0"/>
        <w:adjustRightInd w:val="0"/>
        <w:spacing w:after="0" w:line="240" w:lineRule="auto"/>
        <w:rPr>
          <w:rFonts w:ascii="Times New Roman" w:hAnsi="Times New Roman" w:cs="Times New Roman"/>
          <w:sz w:val="24"/>
          <w:szCs w:val="24"/>
        </w:rPr>
      </w:pPr>
    </w:p>
    <w:p w14:paraId="2FA590E3" w14:textId="77777777" w:rsidR="00735AAD" w:rsidRPr="00735AAD" w:rsidRDefault="00735AAD" w:rsidP="00735AAD">
      <w:pPr>
        <w:numPr>
          <w:ilvl w:val="0"/>
          <w:numId w:val="25"/>
        </w:numPr>
        <w:spacing w:after="160" w:line="259" w:lineRule="auto"/>
        <w:contextualSpacing/>
        <w:jc w:val="both"/>
        <w:rPr>
          <w:rFonts w:ascii="Times New Roman" w:hAnsi="Times New Roman" w:cs="Times New Roman"/>
        </w:rPr>
      </w:pPr>
      <w:r w:rsidRPr="00735AAD">
        <w:rPr>
          <w:rFonts w:ascii="Times New Roman" w:hAnsi="Times New Roman" w:cs="Times New Roman"/>
        </w:rPr>
        <w:t>Parametry i funkcjonalności dodatkowo punktowane w kryterium oceny ofert.</w:t>
      </w:r>
    </w:p>
    <w:p w14:paraId="7DB424EF" w14:textId="77777777" w:rsidR="00735AAD" w:rsidRPr="00735AAD" w:rsidRDefault="00735AAD" w:rsidP="00735AAD">
      <w:pPr>
        <w:spacing w:after="160" w:line="259" w:lineRule="auto"/>
        <w:ind w:left="360"/>
        <w:jc w:val="both"/>
        <w:rPr>
          <w:rFonts w:ascii="Times New Roman" w:hAnsi="Times New Roman" w:cs="Times New Roman"/>
        </w:rPr>
      </w:pPr>
      <w:r w:rsidRPr="00735AAD">
        <w:rPr>
          <w:rFonts w:ascii="Times New Roman" w:hAnsi="Times New Roman" w:cs="Times New Roman"/>
        </w:rPr>
        <w:t xml:space="preserve">Poniższe parametry/warunki stanowią wymagania dodatkowe – niespełnienie niżej wymienionych wymagań nie spowoduje odrzucenie oferty. Wykonawca może dostać dodatkowe punkty w kryterium oceny za ich spełnienie. </w:t>
      </w:r>
    </w:p>
    <w:p w14:paraId="02F9E82D" w14:textId="77777777" w:rsidR="00735AAD" w:rsidRPr="00735AAD" w:rsidRDefault="00735AAD" w:rsidP="00735AAD">
      <w:pPr>
        <w:spacing w:after="160" w:line="259" w:lineRule="auto"/>
        <w:ind w:left="360"/>
        <w:jc w:val="both"/>
        <w:rPr>
          <w:rFonts w:ascii="Times New Roman" w:hAnsi="Times New Roman" w:cs="Times New Roman"/>
        </w:rPr>
      </w:pPr>
      <w:r w:rsidRPr="00735AAD">
        <w:rPr>
          <w:rFonts w:ascii="Times New Roman" w:hAnsi="Times New Roman" w:cs="Times New Roman"/>
        </w:rPr>
        <w:t>Wykonawca dla każdej funkcjonalności wskaże w kolumnie nr 4, właściwą odpowiedź:</w:t>
      </w:r>
    </w:p>
    <w:p w14:paraId="484CC9DC" w14:textId="77777777" w:rsidR="00735AAD" w:rsidRPr="00735AAD" w:rsidRDefault="00735AAD" w:rsidP="00735AAD">
      <w:pPr>
        <w:spacing w:after="160" w:line="259" w:lineRule="auto"/>
        <w:ind w:left="1843" w:hanging="787"/>
        <w:jc w:val="both"/>
        <w:rPr>
          <w:rFonts w:ascii="Times New Roman" w:hAnsi="Times New Roman" w:cs="Times New Roman"/>
        </w:rPr>
      </w:pPr>
      <w:r w:rsidRPr="00735AAD">
        <w:rPr>
          <w:rFonts w:ascii="Times New Roman" w:hAnsi="Times New Roman" w:cs="Times New Roman"/>
          <w:b/>
        </w:rPr>
        <w:t>TAK</w:t>
      </w:r>
      <w:r w:rsidRPr="00735AAD">
        <w:rPr>
          <w:rFonts w:ascii="Times New Roman" w:hAnsi="Times New Roman" w:cs="Times New Roman"/>
        </w:rPr>
        <w:t xml:space="preserve"> – oznacza, że oferowany System posiada daną funkcjonalność na dzień składania oferty. </w:t>
      </w:r>
    </w:p>
    <w:p w14:paraId="44E8C9A7" w14:textId="77777777" w:rsidR="00735AAD" w:rsidRPr="00735AAD" w:rsidRDefault="00735AAD" w:rsidP="00735AAD">
      <w:pPr>
        <w:spacing w:after="160" w:line="259" w:lineRule="auto"/>
        <w:ind w:left="1843" w:hanging="787"/>
        <w:jc w:val="both"/>
        <w:rPr>
          <w:rFonts w:ascii="Times New Roman" w:hAnsi="Times New Roman" w:cs="Times New Roman"/>
        </w:rPr>
      </w:pPr>
      <w:r w:rsidRPr="00735AAD">
        <w:rPr>
          <w:rFonts w:ascii="Times New Roman" w:hAnsi="Times New Roman" w:cs="Times New Roman"/>
          <w:b/>
        </w:rPr>
        <w:t>NIE</w:t>
      </w:r>
      <w:r w:rsidRPr="00735AAD">
        <w:rPr>
          <w:rFonts w:ascii="Times New Roman" w:hAnsi="Times New Roman" w:cs="Times New Roman"/>
        </w:rPr>
        <w:t xml:space="preserve"> – oznacza, że oferowany System nie posiada danej funkcjonalności na dzień składania oferty, </w:t>
      </w:r>
      <w:r w:rsidRPr="00735AAD">
        <w:rPr>
          <w:rFonts w:ascii="Times New Roman" w:hAnsi="Times New Roman" w:cs="Times New Roman"/>
          <w:b/>
        </w:rPr>
        <w:t>ale funkcjonalność ta zostanie dostarczona i wdrożona i wymóg ten będzie całkowicie spełniony przed odbiorem końcowym Systemu.</w:t>
      </w:r>
    </w:p>
    <w:p w14:paraId="318CD626" w14:textId="77777777" w:rsidR="00735AAD" w:rsidRPr="00735AAD" w:rsidRDefault="00735AAD" w:rsidP="00735AAD">
      <w:pPr>
        <w:spacing w:after="160" w:line="259" w:lineRule="auto"/>
        <w:ind w:left="360"/>
        <w:jc w:val="both"/>
        <w:rPr>
          <w:rFonts w:ascii="Times New Roman" w:hAnsi="Times New Roman" w:cs="Times New Roman"/>
        </w:rPr>
      </w:pPr>
      <w:r w:rsidRPr="00735AAD">
        <w:rPr>
          <w:rFonts w:ascii="Times New Roman" w:hAnsi="Times New Roman" w:cs="Times New Roman"/>
        </w:rPr>
        <w:t>Poprzez wpisanie w ostatnią kolumnę tabeli słowa TAK, Wykonawca potwierdza:</w:t>
      </w:r>
    </w:p>
    <w:p w14:paraId="0300386A" w14:textId="77777777" w:rsidR="00735AAD" w:rsidRPr="00735AAD" w:rsidRDefault="00735AAD" w:rsidP="00735AAD">
      <w:pPr>
        <w:pStyle w:val="Akapitzlist"/>
        <w:numPr>
          <w:ilvl w:val="0"/>
          <w:numId w:val="27"/>
        </w:numPr>
        <w:spacing w:after="160" w:line="259" w:lineRule="auto"/>
        <w:jc w:val="both"/>
        <w:rPr>
          <w:rFonts w:ascii="Times New Roman" w:hAnsi="Times New Roman" w:cs="Times New Roman"/>
        </w:rPr>
      </w:pPr>
      <w:r w:rsidRPr="00735AAD">
        <w:rPr>
          <w:rFonts w:ascii="Times New Roman" w:hAnsi="Times New Roman" w:cs="Times New Roman"/>
        </w:rPr>
        <w:lastRenderedPageBreak/>
        <w:t>spełnienie oznaczonych wymagań funkcjonalnych przez oferowany SEOD na dzień składania ofert;</w:t>
      </w:r>
    </w:p>
    <w:p w14:paraId="3A80EE5C" w14:textId="77777777" w:rsidR="00735AAD" w:rsidRPr="00735AAD" w:rsidRDefault="00735AAD" w:rsidP="00735AAD">
      <w:pPr>
        <w:pStyle w:val="Akapitzlist"/>
        <w:numPr>
          <w:ilvl w:val="0"/>
          <w:numId w:val="27"/>
        </w:numPr>
        <w:spacing w:after="160" w:line="259" w:lineRule="auto"/>
        <w:jc w:val="both"/>
        <w:rPr>
          <w:rFonts w:ascii="Times New Roman" w:hAnsi="Times New Roman" w:cs="Times New Roman"/>
        </w:rPr>
      </w:pPr>
      <w:r w:rsidRPr="00735AAD">
        <w:rPr>
          <w:rFonts w:ascii="Times New Roman" w:hAnsi="Times New Roman" w:cs="Times New Roman"/>
        </w:rPr>
        <w:t>przedstawienie oznaczonych wymagań w trakcie prezentacji próbki po złożeniu oferty w terminie wyznaczonym przez Zamawiającego;</w:t>
      </w:r>
    </w:p>
    <w:p w14:paraId="7F450D92" w14:textId="77777777" w:rsidR="00735AAD" w:rsidRPr="00735AAD" w:rsidRDefault="00735AAD" w:rsidP="00735AAD">
      <w:pPr>
        <w:pStyle w:val="Akapitzlist"/>
        <w:numPr>
          <w:ilvl w:val="0"/>
          <w:numId w:val="27"/>
        </w:numPr>
        <w:spacing w:after="160" w:line="259" w:lineRule="auto"/>
        <w:jc w:val="both"/>
        <w:rPr>
          <w:rFonts w:ascii="Times New Roman" w:hAnsi="Times New Roman" w:cs="Times New Roman"/>
        </w:rPr>
      </w:pPr>
      <w:r w:rsidRPr="00735AAD">
        <w:rPr>
          <w:rFonts w:ascii="Times New Roman" w:hAnsi="Times New Roman" w:cs="Times New Roman"/>
        </w:rPr>
        <w:t>dostarczenie i wdrożenie oznaczonych wymagań w ramach zamówienia.</w:t>
      </w:r>
    </w:p>
    <w:p w14:paraId="17269C31" w14:textId="77777777" w:rsidR="00735AAD" w:rsidRPr="00735AAD" w:rsidRDefault="00735AAD" w:rsidP="00735AAD">
      <w:pPr>
        <w:spacing w:after="160" w:line="259" w:lineRule="auto"/>
        <w:ind w:left="360"/>
        <w:jc w:val="both"/>
        <w:rPr>
          <w:rFonts w:ascii="Times New Roman" w:hAnsi="Times New Roman" w:cs="Times New Roman"/>
        </w:rPr>
      </w:pPr>
      <w:r w:rsidRPr="00735AAD">
        <w:rPr>
          <w:rFonts w:ascii="Times New Roman" w:hAnsi="Times New Roman" w:cs="Times New Roman"/>
        </w:rPr>
        <w:t xml:space="preserve">Wpisanie jakiegokolwiek innego słowa lub brak wpisu będzie traktowane przez Zamawiającego jako wpisanie NIE. </w:t>
      </w:r>
    </w:p>
    <w:p w14:paraId="006F0E96" w14:textId="77777777" w:rsidR="00735AAD" w:rsidRPr="00735AAD" w:rsidRDefault="00735AAD" w:rsidP="00735AAD">
      <w:pPr>
        <w:autoSpaceDE w:val="0"/>
        <w:autoSpaceDN w:val="0"/>
        <w:adjustRightInd w:val="0"/>
        <w:spacing w:after="0" w:line="240" w:lineRule="auto"/>
        <w:rPr>
          <w:rFonts w:ascii="Times New Roman" w:hAnsi="Times New Roman" w:cs="Times New Roman"/>
          <w:sz w:val="24"/>
          <w:szCs w:val="24"/>
        </w:rPr>
      </w:pPr>
      <w:r w:rsidRPr="00735AAD">
        <w:rPr>
          <w:rFonts w:ascii="Times New Roman" w:hAnsi="Times New Roman" w:cs="Times New Roman"/>
        </w:rPr>
        <w:t>Punkty będą przyznawane na zasadzie spełnia/nie spełnia, tj. jeżeli próbka spełnia funkcjonalność opisaną w kolumnie „2” to otrzyma ilość punktów wskazaną w kolumnie „3”, jeżeli nie spełnia otrzyma 0 pkt.</w:t>
      </w:r>
    </w:p>
    <w:p w14:paraId="3F8F3DF9" w14:textId="77777777" w:rsidR="00735AAD" w:rsidRDefault="00735AAD" w:rsidP="00CA3B00">
      <w:pPr>
        <w:autoSpaceDE w:val="0"/>
        <w:autoSpaceDN w:val="0"/>
        <w:adjustRightInd w:val="0"/>
        <w:spacing w:after="0" w:line="240" w:lineRule="auto"/>
        <w:rPr>
          <w:rFonts w:ascii="Times New Roman" w:hAnsi="Times New Roman" w:cs="Times New Roman"/>
          <w:sz w:val="24"/>
          <w:szCs w:val="24"/>
        </w:rPr>
      </w:pPr>
    </w:p>
    <w:p w14:paraId="75495D1C" w14:textId="77777777" w:rsidR="00735AAD" w:rsidRDefault="00735AAD" w:rsidP="00CA3B00">
      <w:pPr>
        <w:autoSpaceDE w:val="0"/>
        <w:autoSpaceDN w:val="0"/>
        <w:adjustRightInd w:val="0"/>
        <w:spacing w:after="0" w:line="240" w:lineRule="auto"/>
        <w:rPr>
          <w:rFonts w:ascii="Times New Roman" w:hAnsi="Times New Roman" w:cs="Times New Roman"/>
          <w:sz w:val="24"/>
          <w:szCs w:val="24"/>
        </w:rPr>
      </w:pPr>
    </w:p>
    <w:tbl>
      <w:tblPr>
        <w:tblW w:w="4813" w:type="pct"/>
        <w:tblInd w:w="-5" w:type="dxa"/>
        <w:tblLayout w:type="fixed"/>
        <w:tblCellMar>
          <w:left w:w="10" w:type="dxa"/>
          <w:right w:w="10" w:type="dxa"/>
        </w:tblCellMar>
        <w:tblLook w:val="0000" w:firstRow="0" w:lastRow="0" w:firstColumn="0" w:lastColumn="0" w:noHBand="0" w:noVBand="0"/>
      </w:tblPr>
      <w:tblGrid>
        <w:gridCol w:w="1075"/>
        <w:gridCol w:w="5626"/>
        <w:gridCol w:w="868"/>
        <w:gridCol w:w="1239"/>
      </w:tblGrid>
      <w:tr w:rsidR="00735AAD" w:rsidRPr="00735AAD" w14:paraId="02EDB849" w14:textId="77777777" w:rsidTr="00735AAD">
        <w:trPr>
          <w:trHeight w:val="283"/>
        </w:trPr>
        <w:tc>
          <w:tcPr>
            <w:tcW w:w="1212" w:type="dxa"/>
            <w:tcBorders>
              <w:top w:val="single" w:sz="4" w:space="0" w:color="000000"/>
              <w:left w:val="single" w:sz="4" w:space="0" w:color="000000"/>
              <w:bottom w:val="single" w:sz="4" w:space="0" w:color="000000"/>
              <w:right w:val="single" w:sz="4" w:space="0" w:color="auto"/>
            </w:tcBorders>
            <w:shd w:val="clear" w:color="auto" w:fill="00B0F0"/>
            <w:tcMar>
              <w:top w:w="0" w:type="dxa"/>
              <w:left w:w="70" w:type="dxa"/>
              <w:bottom w:w="0" w:type="dxa"/>
              <w:right w:w="70" w:type="dxa"/>
            </w:tcMar>
            <w:vAlign w:val="center"/>
          </w:tcPr>
          <w:p w14:paraId="1A85F6CE" w14:textId="77777777" w:rsidR="00735AAD" w:rsidRPr="00735AAD" w:rsidRDefault="00735AAD" w:rsidP="00735AAD">
            <w:pPr>
              <w:autoSpaceDE w:val="0"/>
              <w:autoSpaceDN w:val="0"/>
              <w:adjustRightInd w:val="0"/>
              <w:spacing w:after="0" w:line="240" w:lineRule="auto"/>
              <w:jc w:val="center"/>
              <w:rPr>
                <w:rFonts w:ascii="Times New Roman" w:hAnsi="Times New Roman" w:cs="Times New Roman"/>
                <w:b/>
                <w:color w:val="000000"/>
                <w:sz w:val="14"/>
                <w:szCs w:val="14"/>
              </w:rPr>
            </w:pPr>
            <w:r w:rsidRPr="00735AAD">
              <w:rPr>
                <w:rFonts w:ascii="Times New Roman" w:eastAsia="Calibri" w:hAnsi="Times New Roman" w:cs="Times New Roman"/>
                <w:b/>
                <w:sz w:val="14"/>
                <w:szCs w:val="14"/>
              </w:rPr>
              <w:t>Numer</w:t>
            </w:r>
          </w:p>
          <w:p w14:paraId="205A0B96" w14:textId="77777777" w:rsidR="00735AAD" w:rsidRPr="00735AAD" w:rsidRDefault="00735AAD" w:rsidP="00735AAD">
            <w:pPr>
              <w:autoSpaceDN w:val="0"/>
              <w:spacing w:after="0" w:line="254" w:lineRule="auto"/>
              <w:jc w:val="center"/>
              <w:rPr>
                <w:rFonts w:ascii="Times New Roman" w:eastAsia="Calibri" w:hAnsi="Times New Roman" w:cs="Times New Roman"/>
                <w:b/>
                <w:sz w:val="18"/>
                <w:szCs w:val="18"/>
              </w:rPr>
            </w:pPr>
            <w:r w:rsidRPr="00735AAD">
              <w:rPr>
                <w:rFonts w:ascii="Times New Roman" w:eastAsia="Calibri" w:hAnsi="Times New Roman" w:cs="Times New Roman"/>
                <w:b/>
                <w:sz w:val="14"/>
                <w:szCs w:val="14"/>
              </w:rPr>
              <w:t>parametru</w:t>
            </w:r>
          </w:p>
        </w:tc>
        <w:tc>
          <w:tcPr>
            <w:tcW w:w="6443" w:type="dxa"/>
            <w:tcBorders>
              <w:top w:val="single" w:sz="4" w:space="0" w:color="000000"/>
              <w:left w:val="single" w:sz="4" w:space="0" w:color="auto"/>
              <w:bottom w:val="single" w:sz="4" w:space="0" w:color="000000"/>
              <w:right w:val="single" w:sz="4" w:space="0" w:color="auto"/>
            </w:tcBorders>
            <w:shd w:val="clear" w:color="auto" w:fill="00B0F0"/>
            <w:tcMar>
              <w:top w:w="0" w:type="dxa"/>
              <w:left w:w="70" w:type="dxa"/>
              <w:bottom w:w="0" w:type="dxa"/>
              <w:right w:w="70" w:type="dxa"/>
            </w:tcMar>
            <w:vAlign w:val="center"/>
          </w:tcPr>
          <w:p w14:paraId="397B4FA9" w14:textId="77777777" w:rsidR="00735AAD" w:rsidRPr="00735AAD" w:rsidRDefault="00735AAD" w:rsidP="00735AAD">
            <w:pPr>
              <w:autoSpaceDN w:val="0"/>
              <w:spacing w:after="0" w:line="254" w:lineRule="auto"/>
              <w:jc w:val="center"/>
              <w:rPr>
                <w:rFonts w:ascii="Times New Roman" w:eastAsia="Calibri" w:hAnsi="Times New Roman" w:cs="Times New Roman"/>
                <w:b/>
                <w:sz w:val="18"/>
                <w:szCs w:val="18"/>
              </w:rPr>
            </w:pPr>
            <w:r w:rsidRPr="00735AAD">
              <w:rPr>
                <w:rFonts w:ascii="Times New Roman" w:eastAsia="Calibri" w:hAnsi="Times New Roman" w:cs="Times New Roman"/>
                <w:b/>
              </w:rPr>
              <w:t>Parametry i funkcjonalności punktowane w kryterium oceny ofert.</w:t>
            </w:r>
          </w:p>
        </w:tc>
        <w:tc>
          <w:tcPr>
            <w:tcW w:w="992" w:type="dxa"/>
            <w:tcBorders>
              <w:top w:val="single" w:sz="4" w:space="0" w:color="auto"/>
              <w:bottom w:val="single" w:sz="4" w:space="0" w:color="auto"/>
            </w:tcBorders>
            <w:shd w:val="clear" w:color="auto" w:fill="00B0F0"/>
          </w:tcPr>
          <w:p w14:paraId="4AABDBE3" w14:textId="77777777" w:rsidR="00735AAD" w:rsidRPr="00735AAD" w:rsidRDefault="00735AAD" w:rsidP="00735AAD">
            <w:pPr>
              <w:autoSpaceDN w:val="0"/>
              <w:spacing w:after="0" w:line="254"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 xml:space="preserve">Ilość </w:t>
            </w:r>
          </w:p>
          <w:p w14:paraId="3E1F76F8" w14:textId="77777777" w:rsidR="00735AAD" w:rsidRPr="00735AAD" w:rsidRDefault="00735AAD" w:rsidP="00735AAD">
            <w:pPr>
              <w:autoSpaceDN w:val="0"/>
              <w:spacing w:after="0" w:line="254"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 xml:space="preserve">punktów za wymaganie </w:t>
            </w:r>
          </w:p>
        </w:tc>
        <w:tc>
          <w:tcPr>
            <w:tcW w:w="1418" w:type="dxa"/>
            <w:tcBorders>
              <w:top w:val="single" w:sz="4" w:space="0" w:color="000000"/>
              <w:left w:val="single" w:sz="4" w:space="0" w:color="auto"/>
              <w:bottom w:val="single" w:sz="4" w:space="0" w:color="000000"/>
              <w:right w:val="single" w:sz="4" w:space="0" w:color="000000"/>
            </w:tcBorders>
            <w:shd w:val="clear" w:color="auto" w:fill="00B0F0"/>
            <w:vAlign w:val="center"/>
          </w:tcPr>
          <w:p w14:paraId="5823EA53" w14:textId="77777777" w:rsidR="00735AAD" w:rsidRPr="00735AAD" w:rsidRDefault="00735AAD" w:rsidP="00735AAD">
            <w:pPr>
              <w:autoSpaceDN w:val="0"/>
              <w:spacing w:after="0" w:line="254"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Funkcjonalność oferowanego systemu (F)</w:t>
            </w:r>
          </w:p>
          <w:p w14:paraId="74E15102" w14:textId="77777777" w:rsidR="00735AAD" w:rsidRPr="00735AAD" w:rsidRDefault="00735AAD" w:rsidP="00735AAD">
            <w:pPr>
              <w:autoSpaceDN w:val="0"/>
              <w:spacing w:after="0" w:line="254" w:lineRule="auto"/>
              <w:jc w:val="center"/>
              <w:rPr>
                <w:rFonts w:ascii="Times New Roman" w:eastAsia="Calibri" w:hAnsi="Times New Roman" w:cs="Times New Roman"/>
                <w:b/>
                <w:sz w:val="18"/>
                <w:szCs w:val="18"/>
              </w:rPr>
            </w:pPr>
            <w:r w:rsidRPr="00735AAD">
              <w:rPr>
                <w:rFonts w:ascii="Times New Roman" w:eastAsia="Calibri" w:hAnsi="Times New Roman" w:cs="Times New Roman"/>
                <w:b/>
                <w:sz w:val="14"/>
                <w:szCs w:val="14"/>
              </w:rPr>
              <w:t>(Tak/Nie)</w:t>
            </w:r>
          </w:p>
        </w:tc>
      </w:tr>
      <w:tr w:rsidR="00735AAD" w:rsidRPr="00735AAD" w14:paraId="704E5C17" w14:textId="77777777" w:rsidTr="00735AAD">
        <w:trPr>
          <w:trHeight w:val="283"/>
        </w:trPr>
        <w:tc>
          <w:tcPr>
            <w:tcW w:w="1212" w:type="dxa"/>
            <w:tcBorders>
              <w:top w:val="single" w:sz="4" w:space="0" w:color="000000"/>
              <w:left w:val="single" w:sz="4" w:space="0" w:color="000000"/>
              <w:bottom w:val="single" w:sz="4" w:space="0" w:color="000000"/>
              <w:right w:val="single" w:sz="4" w:space="0" w:color="auto"/>
            </w:tcBorders>
            <w:shd w:val="clear" w:color="auto" w:fill="00B0F0"/>
            <w:tcMar>
              <w:top w:w="0" w:type="dxa"/>
              <w:left w:w="70" w:type="dxa"/>
              <w:bottom w:w="0" w:type="dxa"/>
              <w:right w:w="70" w:type="dxa"/>
            </w:tcMar>
            <w:vAlign w:val="center"/>
          </w:tcPr>
          <w:p w14:paraId="74C3740D" w14:textId="77777777" w:rsidR="00735AAD" w:rsidRPr="00735AAD" w:rsidRDefault="00735AAD" w:rsidP="00735AAD">
            <w:pPr>
              <w:autoSpaceDE w:val="0"/>
              <w:autoSpaceDN w:val="0"/>
              <w:adjustRightInd w:val="0"/>
              <w:spacing w:after="0" w:line="240"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1</w:t>
            </w:r>
          </w:p>
        </w:tc>
        <w:tc>
          <w:tcPr>
            <w:tcW w:w="6443" w:type="dxa"/>
            <w:tcBorders>
              <w:top w:val="single" w:sz="4" w:space="0" w:color="000000"/>
              <w:left w:val="single" w:sz="4" w:space="0" w:color="auto"/>
              <w:bottom w:val="single" w:sz="4" w:space="0" w:color="000000"/>
              <w:right w:val="single" w:sz="4" w:space="0" w:color="auto"/>
            </w:tcBorders>
            <w:shd w:val="clear" w:color="auto" w:fill="00B0F0"/>
            <w:tcMar>
              <w:top w:w="0" w:type="dxa"/>
              <w:left w:w="70" w:type="dxa"/>
              <w:bottom w:w="0" w:type="dxa"/>
              <w:right w:w="70" w:type="dxa"/>
            </w:tcMar>
            <w:vAlign w:val="center"/>
          </w:tcPr>
          <w:p w14:paraId="09480506" w14:textId="77777777" w:rsidR="00735AAD" w:rsidRPr="00735AAD" w:rsidRDefault="00735AAD" w:rsidP="00735AAD">
            <w:pPr>
              <w:autoSpaceDE w:val="0"/>
              <w:autoSpaceDN w:val="0"/>
              <w:adjustRightInd w:val="0"/>
              <w:spacing w:after="0" w:line="240"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2</w:t>
            </w:r>
          </w:p>
        </w:tc>
        <w:tc>
          <w:tcPr>
            <w:tcW w:w="992" w:type="dxa"/>
            <w:tcBorders>
              <w:top w:val="single" w:sz="4" w:space="0" w:color="auto"/>
              <w:bottom w:val="single" w:sz="4" w:space="0" w:color="auto"/>
            </w:tcBorders>
            <w:shd w:val="clear" w:color="auto" w:fill="00B0F0"/>
            <w:vAlign w:val="center"/>
          </w:tcPr>
          <w:p w14:paraId="2AF569C2" w14:textId="77777777" w:rsidR="00735AAD" w:rsidRPr="00735AAD" w:rsidRDefault="00735AAD" w:rsidP="00735AAD">
            <w:pPr>
              <w:autoSpaceDN w:val="0"/>
              <w:spacing w:after="0" w:line="254"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3</w:t>
            </w:r>
          </w:p>
        </w:tc>
        <w:tc>
          <w:tcPr>
            <w:tcW w:w="1418" w:type="dxa"/>
            <w:tcBorders>
              <w:top w:val="single" w:sz="4" w:space="0" w:color="000000"/>
              <w:left w:val="single" w:sz="4" w:space="0" w:color="auto"/>
              <w:bottom w:val="single" w:sz="4" w:space="0" w:color="000000"/>
              <w:right w:val="single" w:sz="4" w:space="0" w:color="000000"/>
            </w:tcBorders>
            <w:shd w:val="clear" w:color="auto" w:fill="00B0F0"/>
            <w:vAlign w:val="center"/>
          </w:tcPr>
          <w:p w14:paraId="23E70242" w14:textId="77777777" w:rsidR="00735AAD" w:rsidRPr="00735AAD" w:rsidRDefault="00735AAD" w:rsidP="00735AAD">
            <w:pPr>
              <w:autoSpaceDN w:val="0"/>
              <w:spacing w:after="0" w:line="254" w:lineRule="auto"/>
              <w:jc w:val="center"/>
              <w:rPr>
                <w:rFonts w:ascii="Times New Roman" w:eastAsia="Calibri" w:hAnsi="Times New Roman" w:cs="Times New Roman"/>
                <w:b/>
                <w:sz w:val="14"/>
                <w:szCs w:val="14"/>
              </w:rPr>
            </w:pPr>
            <w:r w:rsidRPr="00735AAD">
              <w:rPr>
                <w:rFonts w:ascii="Times New Roman" w:eastAsia="Calibri" w:hAnsi="Times New Roman" w:cs="Times New Roman"/>
                <w:b/>
                <w:sz w:val="14"/>
                <w:szCs w:val="14"/>
              </w:rPr>
              <w:t>4</w:t>
            </w:r>
          </w:p>
        </w:tc>
      </w:tr>
      <w:tr w:rsidR="00735AAD" w:rsidRPr="00735AAD" w14:paraId="0A0FE16E" w14:textId="77777777" w:rsidTr="00735AAD">
        <w:trPr>
          <w:trHeight w:val="454"/>
        </w:trPr>
        <w:tc>
          <w:tcPr>
            <w:tcW w:w="10065" w:type="dxa"/>
            <w:gridSpan w:val="4"/>
            <w:tcBorders>
              <w:top w:val="single" w:sz="4" w:space="0" w:color="000000"/>
              <w:left w:val="single" w:sz="4" w:space="0" w:color="000000"/>
              <w:bottom w:val="single" w:sz="4" w:space="0" w:color="000000"/>
              <w:right w:val="single" w:sz="4" w:space="0" w:color="000000"/>
            </w:tcBorders>
            <w:shd w:val="clear" w:color="auto" w:fill="B8CCE4" w:themeFill="accent1" w:themeFillTint="66"/>
            <w:tcMar>
              <w:top w:w="0" w:type="dxa"/>
              <w:left w:w="70" w:type="dxa"/>
              <w:bottom w:w="0" w:type="dxa"/>
              <w:right w:w="70" w:type="dxa"/>
            </w:tcMar>
            <w:vAlign w:val="center"/>
          </w:tcPr>
          <w:p w14:paraId="092FCE74" w14:textId="77777777" w:rsidR="00735AAD" w:rsidRPr="00735AAD" w:rsidRDefault="00735AAD" w:rsidP="00735AAD">
            <w:pPr>
              <w:spacing w:after="0" w:line="240" w:lineRule="auto"/>
              <w:jc w:val="center"/>
              <w:rPr>
                <w:rFonts w:ascii="Times New Roman" w:eastAsia="MS Gothic" w:hAnsi="Times New Roman" w:cs="Times New Roman"/>
                <w:b/>
              </w:rPr>
            </w:pPr>
            <w:r w:rsidRPr="00735AAD">
              <w:rPr>
                <w:rFonts w:ascii="Times New Roman" w:hAnsi="Times New Roman" w:cs="Times New Roman"/>
                <w:b/>
              </w:rPr>
              <w:t>Rejestr i obieg faktur</w:t>
            </w:r>
          </w:p>
        </w:tc>
      </w:tr>
      <w:tr w:rsidR="00735AAD" w:rsidRPr="00735AAD" w14:paraId="15B1880B" w14:textId="77777777" w:rsidTr="00735AAD">
        <w:trPr>
          <w:trHeight w:val="283"/>
        </w:trPr>
        <w:tc>
          <w:tcPr>
            <w:tcW w:w="1212" w:type="dxa"/>
            <w:tcBorders>
              <w:top w:val="single" w:sz="4" w:space="0" w:color="auto"/>
              <w:left w:val="single" w:sz="4" w:space="0" w:color="000000"/>
              <w:bottom w:val="single" w:sz="4" w:space="0" w:color="auto"/>
              <w:right w:val="single" w:sz="4" w:space="0" w:color="000000"/>
            </w:tcBorders>
            <w:tcMar>
              <w:top w:w="0" w:type="dxa"/>
              <w:left w:w="70" w:type="dxa"/>
              <w:bottom w:w="0" w:type="dxa"/>
              <w:right w:w="70" w:type="dxa"/>
            </w:tcMar>
            <w:vAlign w:val="center"/>
          </w:tcPr>
          <w:p w14:paraId="1E47EFA9" w14:textId="77777777" w:rsidR="00735AAD" w:rsidRPr="00735AAD" w:rsidRDefault="00735AAD" w:rsidP="00735AAD">
            <w:pPr>
              <w:spacing w:after="0" w:line="240" w:lineRule="auto"/>
              <w:jc w:val="center"/>
              <w:rPr>
                <w:rFonts w:ascii="Times New Roman" w:hAnsi="Times New Roman" w:cs="Times New Roman"/>
                <w:bCs/>
              </w:rPr>
            </w:pPr>
            <w:r w:rsidRPr="00735AAD">
              <w:rPr>
                <w:rFonts w:ascii="Times New Roman" w:hAnsi="Times New Roman" w:cs="Times New Roman"/>
                <w:bCs/>
              </w:rPr>
              <w:t>1</w:t>
            </w:r>
          </w:p>
        </w:tc>
        <w:tc>
          <w:tcPr>
            <w:tcW w:w="6443" w:type="dxa"/>
            <w:tcBorders>
              <w:top w:val="single" w:sz="4" w:space="0" w:color="auto"/>
              <w:left w:val="single" w:sz="4" w:space="0" w:color="000000"/>
              <w:bottom w:val="single" w:sz="4" w:space="0" w:color="auto"/>
              <w:right w:val="single" w:sz="4" w:space="0" w:color="auto"/>
            </w:tcBorders>
            <w:tcMar>
              <w:top w:w="0" w:type="dxa"/>
              <w:left w:w="70" w:type="dxa"/>
              <w:bottom w:w="0" w:type="dxa"/>
              <w:right w:w="70" w:type="dxa"/>
            </w:tcMar>
            <w:vAlign w:val="center"/>
          </w:tcPr>
          <w:p w14:paraId="48C1F0CC"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Zarejestrowanie faktury kosztowej za usługi, która wpłynęła wcześniej w wersji papierowej i została oklejona kodem kreskowym wygenerowanym z SEOD i zeskanowana do SEOD. Podpięcie do formularza rejestracyjnego skanu dokumentu na podstawie wprowadzonego kodu kreskowego faktury.</w:t>
            </w:r>
          </w:p>
          <w:p w14:paraId="533FAA1C"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 xml:space="preserve">Dekretacja faktury na etap opisu merytorycznego poprzez wybranie ścieżki obiegu faktury - kosztowa. Po wskazaniu ścieżki obiegu faktury (typu faktury/dokumentu) automatycznie musi podpowiedzieć się jednostka organizacyjna do której trafi dany dokument do opisu merytorycznego. Wskazanie, że użytkownik należący do jednostki organizacyjnej, do której faktura została skierowana dostał zadanie opisu merytorycznego tej faktury. </w:t>
            </w:r>
          </w:p>
          <w:p w14:paraId="4C6DD282"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 xml:space="preserve">Podjęcie przez użytkownika danego zadania do realizacji - zaprezentowanie, że automatycznie zmienił się wykonawca danego zadania z jednostki organizacyjnej na konkretnego użytkownika, który podjął to zadanie. </w:t>
            </w:r>
          </w:p>
          <w:p w14:paraId="2C319301"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 xml:space="preserve">Wykonanie opisu merytorycznego faktury. Do pozycji opisu merytorycznego faktury należy przypisać z pól słownikowych koszt rodzajowy i MPK (OPK). Należy zaprezentować, że system waliduje wartość opisu merytorycznego faktury z całą wartością faktury wskazaną na etapie rejestracji faktury. </w:t>
            </w:r>
          </w:p>
          <w:p w14:paraId="04E155AC"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Po wykonaniu opisu merytorycznego i wybraniu dedykowanej do tego funkcji system powinien zapamiętać opis merytoryczny rozpisany dla danego kontrahenta na wybranej ścieżce obiegu faktury tj. fakturze kosztowej.</w:t>
            </w:r>
          </w:p>
          <w:p w14:paraId="53A065D3"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 xml:space="preserve">Należy zaprezentować rejestrację innej faktury kosztowej od tego samego kontrahenta i zadekretowanie jej analogicznie jak powyżej na etap opisu merytorycznego na automatycznie podpowiedzianą jednostkę organizacyjną. Należy zaprezentować, że jak faktura trafi na etap opisu merytorycznego to opis merytoryczny będzie gotowy - </w:t>
            </w:r>
            <w:r w:rsidRPr="00735AAD">
              <w:rPr>
                <w:rFonts w:ascii="Times New Roman" w:hAnsi="Times New Roman" w:cs="Times New Roman"/>
              </w:rPr>
              <w:lastRenderedPageBreak/>
              <w:t>identyczny jak zrobiony dla poprzedniej faktury, dla której wykorzystano funkcję zapamiętania opisu merytorycznego dla faktury danego kontrahenta.</w:t>
            </w:r>
          </w:p>
        </w:tc>
        <w:tc>
          <w:tcPr>
            <w:tcW w:w="992" w:type="dxa"/>
            <w:tcBorders>
              <w:top w:val="single" w:sz="4" w:space="0" w:color="auto"/>
              <w:bottom w:val="single" w:sz="4" w:space="0" w:color="auto"/>
            </w:tcBorders>
            <w:vAlign w:val="center"/>
          </w:tcPr>
          <w:p w14:paraId="4B6F2E49" w14:textId="77777777" w:rsidR="00735AAD" w:rsidRPr="00735AAD" w:rsidRDefault="00735AAD" w:rsidP="00735AAD">
            <w:pPr>
              <w:spacing w:after="0" w:line="240" w:lineRule="auto"/>
              <w:jc w:val="center"/>
              <w:rPr>
                <w:rFonts w:ascii="Times New Roman" w:eastAsia="Calibri" w:hAnsi="Times New Roman" w:cs="Times New Roman"/>
              </w:rPr>
            </w:pPr>
            <w:r w:rsidRPr="00735AAD">
              <w:rPr>
                <w:rFonts w:ascii="Times New Roman" w:eastAsia="Calibri" w:hAnsi="Times New Roman" w:cs="Times New Roman"/>
              </w:rPr>
              <w:lastRenderedPageBreak/>
              <w:t>20</w:t>
            </w:r>
          </w:p>
        </w:tc>
        <w:tc>
          <w:tcPr>
            <w:tcW w:w="1418" w:type="dxa"/>
            <w:tcBorders>
              <w:top w:val="single" w:sz="4" w:space="0" w:color="000000"/>
              <w:left w:val="single" w:sz="4" w:space="0" w:color="auto"/>
              <w:bottom w:val="single" w:sz="4" w:space="0" w:color="000000"/>
              <w:right w:val="single" w:sz="4" w:space="0" w:color="000000"/>
            </w:tcBorders>
            <w:vAlign w:val="center"/>
          </w:tcPr>
          <w:p w14:paraId="034F902C" w14:textId="77777777" w:rsidR="00735AAD" w:rsidRPr="00735AAD" w:rsidRDefault="007E4232" w:rsidP="00735AAD">
            <w:pPr>
              <w:spacing w:after="0" w:line="240" w:lineRule="auto"/>
              <w:rPr>
                <w:rFonts w:ascii="Times New Roman" w:eastAsia="Calibri" w:hAnsi="Times New Roman" w:cs="Times New Roman"/>
              </w:rPr>
            </w:pPr>
            <w:sdt>
              <w:sdtPr>
                <w:rPr>
                  <w:rFonts w:ascii="Times New Roman" w:eastAsia="Calibri" w:hAnsi="Times New Roman" w:cs="Times New Roman"/>
                </w:rPr>
                <w:id w:val="440185256"/>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1E5A9FCF" w14:textId="77777777" w:rsidR="00735AAD" w:rsidRPr="00735AAD" w:rsidRDefault="007E4232" w:rsidP="00735AAD">
            <w:pPr>
              <w:spacing w:after="0" w:line="240" w:lineRule="auto"/>
              <w:rPr>
                <w:rFonts w:ascii="Times New Roman" w:hAnsi="Times New Roman" w:cs="Times New Roman"/>
              </w:rPr>
            </w:pPr>
            <w:sdt>
              <w:sdtPr>
                <w:rPr>
                  <w:rFonts w:ascii="Times New Roman" w:eastAsia="Calibri" w:hAnsi="Times New Roman" w:cs="Times New Roman"/>
                </w:rPr>
                <w:id w:val="-688910072"/>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r w:rsidR="00735AAD" w:rsidRPr="00735AAD" w14:paraId="19106F02" w14:textId="77777777" w:rsidTr="00735AAD">
        <w:trPr>
          <w:trHeight w:val="283"/>
        </w:trPr>
        <w:tc>
          <w:tcPr>
            <w:tcW w:w="1212" w:type="dxa"/>
            <w:tcBorders>
              <w:top w:val="single" w:sz="4" w:space="0" w:color="auto"/>
              <w:left w:val="single" w:sz="4" w:space="0" w:color="000000"/>
              <w:bottom w:val="single" w:sz="4" w:space="0" w:color="000000"/>
              <w:right w:val="single" w:sz="4" w:space="0" w:color="000000"/>
            </w:tcBorders>
            <w:tcMar>
              <w:top w:w="0" w:type="dxa"/>
              <w:left w:w="70" w:type="dxa"/>
              <w:bottom w:w="0" w:type="dxa"/>
              <w:right w:w="70" w:type="dxa"/>
            </w:tcMar>
            <w:vAlign w:val="center"/>
          </w:tcPr>
          <w:p w14:paraId="56BCCF2F" w14:textId="77777777" w:rsidR="00735AAD" w:rsidRPr="00735AAD" w:rsidRDefault="00735AAD" w:rsidP="00735AAD">
            <w:pPr>
              <w:spacing w:after="0" w:line="240" w:lineRule="auto"/>
              <w:jc w:val="center"/>
              <w:rPr>
                <w:rFonts w:ascii="Times New Roman" w:hAnsi="Times New Roman" w:cs="Times New Roman"/>
                <w:bCs/>
              </w:rPr>
            </w:pPr>
            <w:r w:rsidRPr="00735AAD">
              <w:rPr>
                <w:rFonts w:ascii="Times New Roman" w:hAnsi="Times New Roman" w:cs="Times New Roman"/>
                <w:bCs/>
              </w:rPr>
              <w:lastRenderedPageBreak/>
              <w:t>2</w:t>
            </w:r>
          </w:p>
        </w:tc>
        <w:tc>
          <w:tcPr>
            <w:tcW w:w="6443" w:type="dxa"/>
            <w:tcBorders>
              <w:top w:val="single" w:sz="4" w:space="0" w:color="auto"/>
              <w:left w:val="single" w:sz="4" w:space="0" w:color="000000"/>
              <w:bottom w:val="single" w:sz="4" w:space="0" w:color="000000"/>
              <w:right w:val="single" w:sz="4" w:space="0" w:color="auto"/>
            </w:tcBorders>
            <w:tcMar>
              <w:top w:w="0" w:type="dxa"/>
              <w:left w:w="70" w:type="dxa"/>
              <w:bottom w:w="0" w:type="dxa"/>
              <w:right w:w="70" w:type="dxa"/>
            </w:tcMar>
            <w:vAlign w:val="center"/>
          </w:tcPr>
          <w:p w14:paraId="246518F7"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 xml:space="preserve">Zarejestrowanie faktury, którą kontrahent przysłał wcześniej na adres mailowy zintegrowany z SEOD i która w wersji mailowej nie zawiera kodu kreskowego. </w:t>
            </w:r>
          </w:p>
          <w:p w14:paraId="557B7BDE"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Dołączenie do formularza rejestracyjnego dokumentu faktury w postaci pdf załączonego do maila.</w:t>
            </w:r>
          </w:p>
          <w:p w14:paraId="7D4BE011"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 xml:space="preserve">Dekretacja faktury na etap opisu merytorycznego poprzez wybranie ścieżki obiegu faktury - apteczna. Po wskazaniu ścieżki obiegu faktury (typu faktury/dokumentu) automatycznie musi podpowiedzieć się użytkownik, do którego trafi dany dokument do opisu merytorycznego. </w:t>
            </w:r>
          </w:p>
          <w:p w14:paraId="62DFE602" w14:textId="77777777" w:rsidR="00735AAD" w:rsidRPr="00735AAD" w:rsidRDefault="00735AAD" w:rsidP="00735AAD">
            <w:pPr>
              <w:autoSpaceDN w:val="0"/>
              <w:spacing w:after="0" w:line="254" w:lineRule="auto"/>
              <w:jc w:val="both"/>
              <w:rPr>
                <w:rFonts w:ascii="Times New Roman" w:hAnsi="Times New Roman" w:cs="Times New Roman"/>
              </w:rPr>
            </w:pPr>
            <w:r w:rsidRPr="00735AAD">
              <w:rPr>
                <w:rFonts w:ascii="Times New Roman" w:hAnsi="Times New Roman" w:cs="Times New Roman"/>
              </w:rPr>
              <w:t>Zaprezentowanie funkcji zapamiętywania ścieżki/typu faktury dla danego kontrahenta - zarejestrowanie innej faktury od tego samego kontrahenta, którą kontrahent przysłał w wersji papierowej i została wcześniej oklejona kodem kreskowym i zeskanowana do SEOD. Zaprezentowanie, że w oknie rejestracyjnym po wskazaniu kontrahenta na etapie rejestracji faktury SEOD automatycznie wskaże typ faktury/ścieżkę obiegu faktury - apteczną i przypisze automatycznie tego samego użytkownika co przy poprzedniej fakturze, do którego faktura trafi na etap opisu merytorycznego.</w:t>
            </w:r>
          </w:p>
        </w:tc>
        <w:tc>
          <w:tcPr>
            <w:tcW w:w="992" w:type="dxa"/>
            <w:tcBorders>
              <w:top w:val="single" w:sz="4" w:space="0" w:color="auto"/>
              <w:bottom w:val="single" w:sz="4" w:space="0" w:color="auto"/>
            </w:tcBorders>
            <w:vAlign w:val="center"/>
          </w:tcPr>
          <w:p w14:paraId="4287C20E" w14:textId="77777777" w:rsidR="00735AAD" w:rsidRPr="00735AAD" w:rsidRDefault="00735AAD" w:rsidP="00735AAD">
            <w:pPr>
              <w:spacing w:after="0" w:line="240" w:lineRule="auto"/>
              <w:jc w:val="center"/>
              <w:rPr>
                <w:rFonts w:ascii="Times New Roman" w:eastAsia="Calibri" w:hAnsi="Times New Roman" w:cs="Times New Roman"/>
              </w:rPr>
            </w:pPr>
            <w:r w:rsidRPr="00735AAD">
              <w:rPr>
                <w:rFonts w:ascii="Times New Roman" w:eastAsia="Calibri" w:hAnsi="Times New Roman" w:cs="Times New Roman"/>
              </w:rPr>
              <w:t>20</w:t>
            </w:r>
          </w:p>
        </w:tc>
        <w:tc>
          <w:tcPr>
            <w:tcW w:w="1418" w:type="dxa"/>
            <w:tcBorders>
              <w:top w:val="single" w:sz="4" w:space="0" w:color="000000"/>
              <w:left w:val="single" w:sz="4" w:space="0" w:color="auto"/>
              <w:bottom w:val="single" w:sz="4" w:space="0" w:color="000000"/>
              <w:right w:val="single" w:sz="4" w:space="0" w:color="000000"/>
            </w:tcBorders>
            <w:vAlign w:val="center"/>
          </w:tcPr>
          <w:p w14:paraId="6D2C5911" w14:textId="77777777" w:rsidR="00735AAD" w:rsidRPr="00735AAD" w:rsidRDefault="007E4232" w:rsidP="00735AAD">
            <w:pPr>
              <w:spacing w:after="0" w:line="240" w:lineRule="auto"/>
              <w:rPr>
                <w:rFonts w:ascii="Times New Roman" w:eastAsia="Calibri" w:hAnsi="Times New Roman" w:cs="Times New Roman"/>
              </w:rPr>
            </w:pPr>
            <w:sdt>
              <w:sdtPr>
                <w:rPr>
                  <w:rFonts w:ascii="Times New Roman" w:eastAsia="Calibri" w:hAnsi="Times New Roman" w:cs="Times New Roman"/>
                </w:rPr>
                <w:id w:val="-52239638"/>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Tak</w:t>
            </w:r>
          </w:p>
          <w:p w14:paraId="5961D40A" w14:textId="77777777" w:rsidR="00735AAD" w:rsidRPr="00735AAD" w:rsidRDefault="007E4232" w:rsidP="00735AAD">
            <w:pPr>
              <w:spacing w:after="0" w:line="240" w:lineRule="auto"/>
              <w:rPr>
                <w:rFonts w:ascii="Times New Roman" w:eastAsia="MS Gothic" w:hAnsi="Times New Roman" w:cs="Times New Roman"/>
              </w:rPr>
            </w:pPr>
            <w:sdt>
              <w:sdtPr>
                <w:rPr>
                  <w:rFonts w:ascii="Times New Roman" w:eastAsia="Calibri" w:hAnsi="Times New Roman" w:cs="Times New Roman"/>
                </w:rPr>
                <w:id w:val="-2057542267"/>
                <w14:checkbox>
                  <w14:checked w14:val="0"/>
                  <w14:checkedState w14:val="2612" w14:font="MS Gothic"/>
                  <w14:uncheckedState w14:val="2610" w14:font="MS Gothic"/>
                </w14:checkbox>
              </w:sdtPr>
              <w:sdtEndPr/>
              <w:sdtContent>
                <w:r w:rsidR="00735AAD" w:rsidRPr="00735AAD">
                  <w:rPr>
                    <w:rFonts w:ascii="MS Gothic" w:eastAsia="MS Gothic" w:hAnsi="MS Gothic" w:cs="MS Gothic" w:hint="eastAsia"/>
                  </w:rPr>
                  <w:t>☐</w:t>
                </w:r>
              </w:sdtContent>
            </w:sdt>
            <w:r w:rsidR="00735AAD" w:rsidRPr="00735AAD">
              <w:rPr>
                <w:rFonts w:ascii="Times New Roman" w:eastAsia="Calibri" w:hAnsi="Times New Roman" w:cs="Times New Roman"/>
              </w:rPr>
              <w:t xml:space="preserve"> Nie</w:t>
            </w:r>
          </w:p>
        </w:tc>
      </w:tr>
    </w:tbl>
    <w:p w14:paraId="267F5E5E" w14:textId="77777777" w:rsidR="00735AAD" w:rsidRDefault="00735AAD" w:rsidP="00CA3B00">
      <w:pPr>
        <w:autoSpaceDE w:val="0"/>
        <w:autoSpaceDN w:val="0"/>
        <w:adjustRightInd w:val="0"/>
        <w:spacing w:after="0" w:line="240" w:lineRule="auto"/>
        <w:rPr>
          <w:rFonts w:ascii="Times New Roman" w:hAnsi="Times New Roman" w:cs="Times New Roman"/>
          <w:sz w:val="24"/>
          <w:szCs w:val="24"/>
        </w:rPr>
      </w:pPr>
    </w:p>
    <w:p w14:paraId="7F54104A" w14:textId="77777777" w:rsidR="00735AAD" w:rsidRDefault="00735AAD" w:rsidP="00CA3B00">
      <w:pPr>
        <w:autoSpaceDE w:val="0"/>
        <w:autoSpaceDN w:val="0"/>
        <w:adjustRightInd w:val="0"/>
        <w:spacing w:after="0" w:line="240" w:lineRule="auto"/>
        <w:rPr>
          <w:rFonts w:ascii="Times New Roman" w:hAnsi="Times New Roman" w:cs="Times New Roman"/>
          <w:sz w:val="24"/>
          <w:szCs w:val="24"/>
        </w:rPr>
      </w:pPr>
    </w:p>
    <w:p w14:paraId="5701E669" w14:textId="77777777" w:rsidR="00735AAD" w:rsidRDefault="00735AAD" w:rsidP="00CA3B00">
      <w:pPr>
        <w:autoSpaceDE w:val="0"/>
        <w:autoSpaceDN w:val="0"/>
        <w:adjustRightInd w:val="0"/>
        <w:spacing w:after="0" w:line="240" w:lineRule="auto"/>
        <w:rPr>
          <w:rFonts w:ascii="Times New Roman" w:hAnsi="Times New Roman" w:cs="Times New Roman"/>
          <w:sz w:val="24"/>
          <w:szCs w:val="24"/>
        </w:rPr>
      </w:pPr>
    </w:p>
    <w:p w14:paraId="7EF129F9" w14:textId="77777777" w:rsidR="00CA3B00" w:rsidRPr="00CA3B00" w:rsidRDefault="00CA3B00" w:rsidP="00CA3B00">
      <w:pPr>
        <w:rPr>
          <w:rFonts w:ascii="Times New Roman" w:hAnsi="Times New Roman" w:cs="Times New Roman"/>
          <w:sz w:val="24"/>
          <w:szCs w:val="24"/>
        </w:rPr>
      </w:pPr>
      <w:r w:rsidRPr="00CA3B00">
        <w:rPr>
          <w:rFonts w:ascii="Times New Roman" w:hAnsi="Times New Roman" w:cs="Times New Roman"/>
          <w:sz w:val="24"/>
          <w:szCs w:val="24"/>
        </w:rPr>
        <w:t>Łączna liczba punktów do uzyskania: 40</w:t>
      </w:r>
    </w:p>
    <w:p w14:paraId="04E441E0" w14:textId="77777777" w:rsidR="00CA3B00" w:rsidRPr="00CA3B00" w:rsidRDefault="00CA3B00" w:rsidP="00CA3B00">
      <w:pPr>
        <w:rPr>
          <w:rFonts w:ascii="Times New Roman" w:hAnsi="Times New Roman" w:cs="Times New Roman"/>
          <w:sz w:val="24"/>
          <w:szCs w:val="24"/>
        </w:rPr>
      </w:pPr>
      <w:r w:rsidRPr="00CA3B00">
        <w:rPr>
          <w:rFonts w:ascii="Times New Roman" w:hAnsi="Times New Roman" w:cs="Times New Roman"/>
          <w:sz w:val="24"/>
          <w:szCs w:val="24"/>
        </w:rPr>
        <w:t>Liczba punktów do uzyskania według  zadeklarowanych przez Wykonawcę funkcjonalności: …</w:t>
      </w:r>
    </w:p>
    <w:p w14:paraId="43BFF123" w14:textId="77777777" w:rsidR="00CA3B00" w:rsidRPr="00CA3B00" w:rsidRDefault="00CA3B00" w:rsidP="00CA3B00">
      <w:pPr>
        <w:spacing w:after="0" w:line="240" w:lineRule="auto"/>
        <w:ind w:firstLine="284"/>
        <w:rPr>
          <w:rFonts w:ascii="Times New Roman" w:eastAsia="Calibri" w:hAnsi="Times New Roman" w:cs="Times New Roman"/>
          <w:bCs/>
          <w:sz w:val="24"/>
          <w:szCs w:val="24"/>
          <w:lang w:eastAsia="pl-PL"/>
        </w:rPr>
      </w:pPr>
    </w:p>
    <w:p w14:paraId="35929F7C" w14:textId="77777777" w:rsidR="00CA3B00" w:rsidRPr="00CA3B00" w:rsidRDefault="00CA3B00" w:rsidP="00CA3B00">
      <w:pPr>
        <w:spacing w:after="0" w:line="240" w:lineRule="auto"/>
        <w:rPr>
          <w:rFonts w:ascii="Times New Roman" w:eastAsiaTheme="minorEastAsia" w:hAnsi="Times New Roman" w:cs="Times New Roman"/>
          <w:sz w:val="24"/>
          <w:szCs w:val="24"/>
          <w:lang w:eastAsia="pl-PL"/>
        </w:rPr>
      </w:pPr>
    </w:p>
    <w:p w14:paraId="54FD34BB" w14:textId="77777777" w:rsidR="00CA3B00" w:rsidRPr="00CA3B00" w:rsidRDefault="00CA3B00" w:rsidP="00CA3B00">
      <w:pPr>
        <w:numPr>
          <w:ilvl w:val="3"/>
          <w:numId w:val="2"/>
        </w:numPr>
        <w:suppressAutoHyphens/>
        <w:ind w:left="284" w:hanging="284"/>
        <w:contextualSpacing/>
        <w:jc w:val="both"/>
        <w:rPr>
          <w:rFonts w:ascii="Times New Roman" w:eastAsia="Times New Roman" w:hAnsi="Times New Roman" w:cs="Times New Roman"/>
          <w:b/>
          <w:sz w:val="24"/>
          <w:szCs w:val="24"/>
          <w:lang w:eastAsia="ar-SA"/>
        </w:rPr>
      </w:pPr>
      <w:r w:rsidRPr="00CA3B00">
        <w:rPr>
          <w:rFonts w:ascii="Times New Roman" w:eastAsia="Times New Roman" w:hAnsi="Times New Roman" w:cs="Times New Roman"/>
          <w:sz w:val="24"/>
          <w:szCs w:val="24"/>
          <w:lang w:eastAsia="ar-SA"/>
        </w:rPr>
        <w:t xml:space="preserve">Czy wybór oferty będzie prowadził do powstania obowiązku podatkowego po stronie Zamawiającego  </w:t>
      </w:r>
      <w:r w:rsidRPr="00CA3B00">
        <w:rPr>
          <w:rFonts w:ascii="Times New Roman" w:eastAsia="Times New Roman" w:hAnsi="Times New Roman" w:cs="Times New Roman"/>
          <w:b/>
          <w:sz w:val="24"/>
          <w:szCs w:val="24"/>
          <w:lang w:eastAsia="ar-SA"/>
        </w:rPr>
        <w:t>TAK/NIE*</w:t>
      </w:r>
      <w:r w:rsidRPr="00CA3B00">
        <w:rPr>
          <w:rFonts w:ascii="Times New Roman" w:eastAsia="Times New Roman" w:hAnsi="Times New Roman" w:cs="Times New Roman"/>
          <w:sz w:val="24"/>
          <w:szCs w:val="24"/>
          <w:lang w:eastAsia="ar-SA"/>
        </w:rPr>
        <w:t>.</w:t>
      </w:r>
    </w:p>
    <w:p w14:paraId="10DCDE3A" w14:textId="77777777" w:rsidR="00CA3B00" w:rsidRPr="00CA3B00" w:rsidRDefault="00CA3B00" w:rsidP="00CA3B00">
      <w:pPr>
        <w:suppressAutoHyphens/>
        <w:ind w:left="284"/>
        <w:jc w:val="both"/>
        <w:rPr>
          <w:rFonts w:ascii="Times New Roman" w:eastAsiaTheme="minorEastAsia" w:hAnsi="Times New Roman" w:cs="Times New Roman"/>
          <w:sz w:val="24"/>
          <w:szCs w:val="24"/>
          <w:lang w:eastAsia="ar-SA"/>
        </w:rPr>
      </w:pPr>
      <w:r w:rsidRPr="00CA3B00">
        <w:rPr>
          <w:rFonts w:ascii="Times New Roman" w:eastAsiaTheme="minorEastAsia" w:hAnsi="Times New Roman" w:cs="Times New Roman"/>
          <w:sz w:val="24"/>
          <w:szCs w:val="24"/>
          <w:lang w:eastAsia="ar-SA"/>
        </w:rPr>
        <w:t xml:space="preserve">Jeżeli Wykonawca wskaże </w:t>
      </w:r>
      <w:r w:rsidRPr="00CA3B00">
        <w:rPr>
          <w:rFonts w:ascii="Times New Roman" w:eastAsiaTheme="minorEastAsia" w:hAnsi="Times New Roman" w:cs="Times New Roman"/>
          <w:b/>
          <w:sz w:val="24"/>
          <w:szCs w:val="24"/>
          <w:lang w:eastAsia="ar-SA"/>
        </w:rPr>
        <w:t>TAK</w:t>
      </w:r>
      <w:r w:rsidRPr="00CA3B00">
        <w:rPr>
          <w:rFonts w:ascii="Times New Roman" w:eastAsiaTheme="minorEastAsia" w:hAnsi="Times New Roman" w:cs="Times New Roman"/>
          <w:sz w:val="24"/>
          <w:szCs w:val="24"/>
          <w:lang w:eastAsia="ar-SA"/>
        </w:rPr>
        <w:t xml:space="preserve"> (powstanie obowiązek podatkowy u Zamawiającego) Wykonawca wskazuje rodzaj towaru której ten obowiązek dotyczy ……………………………. (nazwa towaru).</w:t>
      </w:r>
    </w:p>
    <w:p w14:paraId="044606F4" w14:textId="77777777" w:rsidR="00CA3B00" w:rsidRPr="00CA3B00" w:rsidRDefault="00CA3B00" w:rsidP="00CA3B00">
      <w:pPr>
        <w:suppressAutoHyphens/>
        <w:ind w:left="284"/>
        <w:jc w:val="both"/>
        <w:rPr>
          <w:rFonts w:ascii="Times New Roman" w:eastAsiaTheme="minorEastAsia" w:hAnsi="Times New Roman" w:cs="Times New Roman"/>
          <w:sz w:val="24"/>
          <w:szCs w:val="24"/>
          <w:lang w:eastAsia="ar-SA"/>
        </w:rPr>
      </w:pPr>
      <w:r w:rsidRPr="00CA3B00">
        <w:rPr>
          <w:rFonts w:ascii="Times New Roman" w:eastAsiaTheme="minorEastAsia" w:hAnsi="Times New Roman" w:cs="Times New Roman"/>
          <w:sz w:val="24"/>
          <w:szCs w:val="24"/>
          <w:lang w:eastAsia="ar-SA"/>
        </w:rPr>
        <w:t>Cena netto (bez podatku VAT) ……………. (</w:t>
      </w:r>
      <w:r w:rsidRPr="00CA3B00">
        <w:rPr>
          <w:rFonts w:ascii="Times New Roman" w:eastAsiaTheme="minorEastAsia" w:hAnsi="Times New Roman" w:cs="Times New Roman"/>
          <w:b/>
          <w:sz w:val="24"/>
          <w:szCs w:val="24"/>
          <w:lang w:eastAsia="ar-SA"/>
        </w:rPr>
        <w:t>Uwaga!</w:t>
      </w:r>
      <w:r w:rsidRPr="00CA3B00">
        <w:rPr>
          <w:rFonts w:ascii="Times New Roman" w:eastAsiaTheme="minorEastAsia" w:hAnsi="Times New Roman" w:cs="Times New Roman"/>
          <w:sz w:val="24"/>
          <w:szCs w:val="24"/>
          <w:lang w:eastAsia="ar-SA"/>
        </w:rPr>
        <w:t xml:space="preserve"> Dotyczy tylko dostaw dla których obowiązek podatkowy przechodzi na Zamawiającego);</w:t>
      </w:r>
    </w:p>
    <w:p w14:paraId="0D8574BE" w14:textId="77777777" w:rsidR="00CA3B00" w:rsidRPr="00CA3B00" w:rsidRDefault="00CA3B00" w:rsidP="00CA3B00">
      <w:pPr>
        <w:suppressAutoHyphens/>
        <w:ind w:left="284"/>
        <w:jc w:val="both"/>
        <w:rPr>
          <w:rFonts w:ascii="Times New Roman" w:eastAsiaTheme="minorEastAsia" w:hAnsi="Times New Roman" w:cs="Times New Roman"/>
          <w:sz w:val="24"/>
          <w:szCs w:val="24"/>
          <w:lang w:eastAsia="ar-SA"/>
        </w:rPr>
      </w:pPr>
      <w:r w:rsidRPr="00CA3B00">
        <w:rPr>
          <w:rFonts w:ascii="Times New Roman" w:eastAsiaTheme="minorEastAsia" w:hAnsi="Times New Roman" w:cs="Times New Roman"/>
          <w:sz w:val="24"/>
          <w:szCs w:val="24"/>
          <w:lang w:eastAsia="ar-SA"/>
        </w:rPr>
        <w:t>Stawka podatku od towarów i usług, która zgodnie z wiedzą wykonawcy będzie miała zastosowanie ………………%</w:t>
      </w:r>
    </w:p>
    <w:p w14:paraId="53DC560B" w14:textId="77777777" w:rsidR="00CA3B00" w:rsidRPr="00CA3B00" w:rsidRDefault="00CA3B00" w:rsidP="00CA3B00">
      <w:pPr>
        <w:suppressAutoHyphens/>
        <w:ind w:left="284"/>
        <w:jc w:val="both"/>
        <w:rPr>
          <w:rFonts w:ascii="Times New Roman" w:eastAsiaTheme="minorEastAsia" w:hAnsi="Times New Roman" w:cs="Times New Roman"/>
          <w:sz w:val="24"/>
          <w:szCs w:val="24"/>
          <w:lang w:eastAsia="ar-SA"/>
        </w:rPr>
      </w:pPr>
      <w:r w:rsidRPr="00CA3B00">
        <w:rPr>
          <w:rFonts w:ascii="Times New Roman" w:eastAsiaTheme="minorEastAsia" w:hAnsi="Times New Roman" w:cs="Times New Roman"/>
          <w:sz w:val="24"/>
          <w:szCs w:val="24"/>
          <w:lang w:eastAsia="ar-SA"/>
        </w:rPr>
        <w:t>*Niepotrzebne skreślić</w:t>
      </w:r>
    </w:p>
    <w:p w14:paraId="46DDC69A" w14:textId="77777777" w:rsidR="00CA3B00" w:rsidRPr="00735AAD" w:rsidRDefault="00CA3B00" w:rsidP="00735AAD">
      <w:pPr>
        <w:pStyle w:val="Akapitzlist"/>
        <w:numPr>
          <w:ilvl w:val="3"/>
          <w:numId w:val="2"/>
        </w:numPr>
        <w:suppressAutoHyphens/>
        <w:spacing w:after="0" w:line="240" w:lineRule="auto"/>
        <w:ind w:left="709"/>
        <w:jc w:val="both"/>
        <w:rPr>
          <w:rFonts w:ascii="Times New Roman" w:eastAsia="Times New Roman" w:hAnsi="Times New Roman" w:cs="Times New Roman"/>
          <w:sz w:val="24"/>
          <w:szCs w:val="24"/>
          <w:lang w:eastAsia="ar-SA"/>
        </w:rPr>
      </w:pPr>
      <w:r w:rsidRPr="00735AAD">
        <w:rPr>
          <w:rFonts w:ascii="Times New Roman" w:eastAsia="Times New Roman" w:hAnsi="Times New Roman" w:cs="Times New Roman"/>
          <w:sz w:val="24"/>
          <w:szCs w:val="24"/>
          <w:lang w:eastAsia="pl-PL"/>
        </w:rPr>
        <w:t>Oświadczam, że podmiot, który reprezentuje to:</w:t>
      </w:r>
    </w:p>
    <w:p w14:paraId="4518DD48" w14:textId="77777777" w:rsidR="00CA3B00" w:rsidRPr="00CA3B00" w:rsidRDefault="00CA3B00" w:rsidP="00CA3B00">
      <w:pPr>
        <w:spacing w:after="0" w:line="240" w:lineRule="auto"/>
        <w:ind w:left="426"/>
        <w:rPr>
          <w:rFonts w:ascii="Times New Roman" w:eastAsia="Times New Roman" w:hAnsi="Times New Roman" w:cs="Times New Roman"/>
          <w:sz w:val="24"/>
          <w:szCs w:val="24"/>
          <w:lang w:eastAsia="pl-PL"/>
        </w:rPr>
      </w:pPr>
      <w:r w:rsidRPr="00CA3B00">
        <w:rPr>
          <w:rFonts w:ascii="Times New Roman" w:eastAsia="Times New Roman" w:hAnsi="Times New Roman" w:cs="Times New Roman"/>
          <w:b/>
          <w:sz w:val="24"/>
          <w:szCs w:val="24"/>
          <w:lang w:eastAsia="pl-PL"/>
        </w:rPr>
        <w:t xml:space="preserve">□ </w:t>
      </w:r>
      <w:r w:rsidRPr="00CA3B00">
        <w:rPr>
          <w:rFonts w:ascii="Times New Roman" w:eastAsia="Times New Roman" w:hAnsi="Times New Roman" w:cs="Times New Roman"/>
          <w:b/>
          <w:sz w:val="24"/>
          <w:szCs w:val="24"/>
          <w:lang w:eastAsia="pl-PL"/>
        </w:rPr>
        <w:tab/>
      </w:r>
      <w:r w:rsidRPr="00CA3B00">
        <w:rPr>
          <w:rFonts w:ascii="Times New Roman" w:eastAsia="Times New Roman" w:hAnsi="Times New Roman" w:cs="Times New Roman"/>
          <w:sz w:val="24"/>
          <w:szCs w:val="24"/>
          <w:lang w:eastAsia="ar-SA"/>
        </w:rPr>
        <w:t>mikroprzedsiębiorstwo*</w:t>
      </w:r>
      <w:r w:rsidRPr="00CA3B00">
        <w:rPr>
          <w:rFonts w:ascii="Times New Roman" w:eastAsia="Times New Roman" w:hAnsi="Times New Roman" w:cs="Times New Roman"/>
          <w:sz w:val="24"/>
          <w:szCs w:val="24"/>
          <w:lang w:eastAsia="pl-PL"/>
        </w:rPr>
        <w:t xml:space="preserve"> </w:t>
      </w:r>
    </w:p>
    <w:p w14:paraId="65EDFD1A" w14:textId="77777777" w:rsidR="00CA3B00" w:rsidRPr="00CA3B00" w:rsidRDefault="00CA3B00" w:rsidP="00CA3B00">
      <w:pPr>
        <w:spacing w:after="0" w:line="240" w:lineRule="auto"/>
        <w:ind w:left="426"/>
        <w:rPr>
          <w:rFonts w:ascii="Times New Roman" w:eastAsia="Times New Roman" w:hAnsi="Times New Roman" w:cs="Times New Roman"/>
          <w:sz w:val="24"/>
          <w:szCs w:val="24"/>
          <w:lang w:eastAsia="pl-PL"/>
        </w:rPr>
      </w:pPr>
      <w:r w:rsidRPr="00CA3B00">
        <w:rPr>
          <w:rFonts w:ascii="Times New Roman" w:eastAsia="Times New Roman" w:hAnsi="Times New Roman" w:cs="Times New Roman"/>
          <w:b/>
          <w:sz w:val="24"/>
          <w:szCs w:val="24"/>
          <w:lang w:eastAsia="pl-PL"/>
        </w:rPr>
        <w:t xml:space="preserve">□ </w:t>
      </w:r>
      <w:r w:rsidRPr="00CA3B00">
        <w:rPr>
          <w:rFonts w:ascii="Times New Roman" w:eastAsia="Times New Roman" w:hAnsi="Times New Roman" w:cs="Times New Roman"/>
          <w:b/>
          <w:sz w:val="24"/>
          <w:szCs w:val="24"/>
          <w:lang w:eastAsia="pl-PL"/>
        </w:rPr>
        <w:tab/>
      </w:r>
      <w:r w:rsidRPr="00CA3B00">
        <w:rPr>
          <w:rFonts w:ascii="Times New Roman" w:eastAsia="Times New Roman" w:hAnsi="Times New Roman" w:cs="Times New Roman"/>
          <w:sz w:val="24"/>
          <w:szCs w:val="24"/>
          <w:lang w:eastAsia="ar-SA"/>
        </w:rPr>
        <w:t>małe przedsiębiorstwo*</w:t>
      </w:r>
    </w:p>
    <w:p w14:paraId="7613C880" w14:textId="77777777" w:rsidR="00CA3B00" w:rsidRPr="00CA3B00" w:rsidRDefault="00CA3B00" w:rsidP="00CA3B00">
      <w:pPr>
        <w:spacing w:after="0" w:line="240" w:lineRule="auto"/>
        <w:ind w:left="426"/>
        <w:rPr>
          <w:rFonts w:ascii="Times New Roman" w:eastAsia="Times New Roman" w:hAnsi="Times New Roman" w:cs="Times New Roman"/>
          <w:sz w:val="24"/>
          <w:szCs w:val="24"/>
          <w:lang w:eastAsia="pl-PL"/>
        </w:rPr>
      </w:pPr>
      <w:r w:rsidRPr="00CA3B00">
        <w:rPr>
          <w:rFonts w:ascii="Times New Roman" w:eastAsia="Times New Roman" w:hAnsi="Times New Roman" w:cs="Times New Roman"/>
          <w:b/>
          <w:sz w:val="24"/>
          <w:szCs w:val="24"/>
          <w:lang w:eastAsia="pl-PL"/>
        </w:rPr>
        <w:t xml:space="preserve">□ </w:t>
      </w:r>
      <w:r w:rsidRPr="00CA3B00">
        <w:rPr>
          <w:rFonts w:ascii="Times New Roman" w:eastAsia="Times New Roman" w:hAnsi="Times New Roman" w:cs="Times New Roman"/>
          <w:b/>
          <w:sz w:val="24"/>
          <w:szCs w:val="24"/>
          <w:lang w:eastAsia="pl-PL"/>
        </w:rPr>
        <w:tab/>
      </w:r>
      <w:r w:rsidRPr="00CA3B00">
        <w:rPr>
          <w:rFonts w:ascii="Times New Roman" w:eastAsia="Times New Roman" w:hAnsi="Times New Roman" w:cs="Times New Roman"/>
          <w:sz w:val="24"/>
          <w:szCs w:val="24"/>
          <w:lang w:eastAsia="pl-PL"/>
        </w:rPr>
        <w:t>średnie</w:t>
      </w:r>
      <w:r w:rsidRPr="00CA3B00">
        <w:rPr>
          <w:rFonts w:ascii="Times New Roman" w:eastAsia="Times New Roman" w:hAnsi="Times New Roman" w:cs="Times New Roman"/>
          <w:b/>
          <w:sz w:val="24"/>
          <w:szCs w:val="24"/>
          <w:lang w:eastAsia="pl-PL"/>
        </w:rPr>
        <w:t xml:space="preserve"> </w:t>
      </w:r>
      <w:r w:rsidRPr="00CA3B00">
        <w:rPr>
          <w:rFonts w:ascii="Times New Roman" w:eastAsia="Times New Roman" w:hAnsi="Times New Roman" w:cs="Times New Roman"/>
          <w:sz w:val="24"/>
          <w:szCs w:val="24"/>
          <w:lang w:eastAsia="ar-SA"/>
        </w:rPr>
        <w:t>przedsiębiorstwo*</w:t>
      </w:r>
    </w:p>
    <w:p w14:paraId="6FFFD294" w14:textId="77777777" w:rsidR="00CA3B00" w:rsidRPr="00CA3B00" w:rsidRDefault="00CA3B00" w:rsidP="00CA3B00">
      <w:pPr>
        <w:spacing w:after="0" w:line="240" w:lineRule="auto"/>
        <w:ind w:left="426"/>
        <w:rPr>
          <w:rFonts w:ascii="Times New Roman" w:eastAsia="Times New Roman" w:hAnsi="Times New Roman" w:cs="Times New Roman"/>
          <w:sz w:val="24"/>
          <w:szCs w:val="24"/>
          <w:lang w:eastAsia="pl-PL"/>
        </w:rPr>
      </w:pPr>
      <w:r w:rsidRPr="00CA3B00">
        <w:rPr>
          <w:rFonts w:ascii="Times New Roman" w:eastAsia="Times New Roman" w:hAnsi="Times New Roman" w:cs="Times New Roman"/>
          <w:b/>
          <w:sz w:val="24"/>
          <w:szCs w:val="24"/>
          <w:lang w:eastAsia="pl-PL"/>
        </w:rPr>
        <w:lastRenderedPageBreak/>
        <w:t xml:space="preserve">□ </w:t>
      </w:r>
      <w:r w:rsidRPr="00CA3B00">
        <w:rPr>
          <w:rFonts w:ascii="Times New Roman" w:eastAsia="Times New Roman" w:hAnsi="Times New Roman" w:cs="Times New Roman"/>
          <w:b/>
          <w:sz w:val="24"/>
          <w:szCs w:val="24"/>
          <w:lang w:eastAsia="pl-PL"/>
        </w:rPr>
        <w:tab/>
      </w:r>
      <w:r w:rsidRPr="00CA3B00">
        <w:rPr>
          <w:rFonts w:ascii="Times New Roman" w:eastAsia="Times New Roman" w:hAnsi="Times New Roman" w:cs="Times New Roman"/>
          <w:sz w:val="24"/>
          <w:szCs w:val="24"/>
          <w:lang w:eastAsia="pl-PL"/>
        </w:rPr>
        <w:t>jednoosobowa działalność gospodarcza</w:t>
      </w:r>
    </w:p>
    <w:p w14:paraId="443E702D" w14:textId="77777777" w:rsidR="00CA3B00" w:rsidRPr="00CA3B00" w:rsidRDefault="00CA3B00" w:rsidP="00CA3B00">
      <w:pPr>
        <w:spacing w:after="0" w:line="240" w:lineRule="auto"/>
        <w:ind w:left="426"/>
        <w:rPr>
          <w:rFonts w:ascii="Times New Roman" w:eastAsia="Times New Roman" w:hAnsi="Times New Roman" w:cs="Times New Roman"/>
          <w:sz w:val="24"/>
          <w:szCs w:val="24"/>
          <w:lang w:eastAsia="pl-PL"/>
        </w:rPr>
      </w:pPr>
      <w:r w:rsidRPr="00CA3B00">
        <w:rPr>
          <w:rFonts w:ascii="Times New Roman" w:eastAsia="Times New Roman" w:hAnsi="Times New Roman" w:cs="Times New Roman"/>
          <w:b/>
          <w:sz w:val="24"/>
          <w:szCs w:val="24"/>
          <w:lang w:eastAsia="pl-PL"/>
        </w:rPr>
        <w:t xml:space="preserve">□ </w:t>
      </w:r>
      <w:r w:rsidRPr="00CA3B00">
        <w:rPr>
          <w:rFonts w:ascii="Times New Roman" w:eastAsia="Times New Roman" w:hAnsi="Times New Roman" w:cs="Times New Roman"/>
          <w:b/>
          <w:sz w:val="24"/>
          <w:szCs w:val="24"/>
          <w:lang w:eastAsia="pl-PL"/>
        </w:rPr>
        <w:tab/>
      </w:r>
      <w:r w:rsidRPr="00CA3B00">
        <w:rPr>
          <w:rFonts w:ascii="Times New Roman" w:eastAsia="Times New Roman" w:hAnsi="Times New Roman" w:cs="Times New Roman"/>
          <w:sz w:val="24"/>
          <w:szCs w:val="24"/>
          <w:lang w:eastAsia="pl-PL"/>
        </w:rPr>
        <w:t>osoba fizyczna nieprowadząca działalności gospodarczej</w:t>
      </w:r>
    </w:p>
    <w:p w14:paraId="2A62444B" w14:textId="77777777" w:rsidR="00CA3B00" w:rsidRPr="00CA3B00" w:rsidRDefault="00CA3B00" w:rsidP="00CA3B00">
      <w:pPr>
        <w:spacing w:after="0" w:line="240" w:lineRule="auto"/>
        <w:ind w:left="426"/>
        <w:rPr>
          <w:rFonts w:ascii="Times New Roman" w:eastAsia="Times New Roman" w:hAnsi="Times New Roman" w:cs="Times New Roman"/>
          <w:sz w:val="24"/>
          <w:szCs w:val="24"/>
          <w:lang w:eastAsia="pl-PL"/>
        </w:rPr>
      </w:pPr>
      <w:r w:rsidRPr="00CA3B00">
        <w:rPr>
          <w:rFonts w:ascii="Times New Roman" w:eastAsia="Times New Roman" w:hAnsi="Times New Roman" w:cs="Times New Roman"/>
          <w:b/>
          <w:sz w:val="24"/>
          <w:szCs w:val="24"/>
          <w:lang w:eastAsia="pl-PL"/>
        </w:rPr>
        <w:t xml:space="preserve">□ </w:t>
      </w:r>
      <w:r w:rsidRPr="00CA3B00">
        <w:rPr>
          <w:rFonts w:ascii="Times New Roman" w:eastAsia="Times New Roman" w:hAnsi="Times New Roman" w:cs="Times New Roman"/>
          <w:b/>
          <w:sz w:val="24"/>
          <w:szCs w:val="24"/>
          <w:lang w:eastAsia="pl-PL"/>
        </w:rPr>
        <w:tab/>
      </w:r>
      <w:r w:rsidRPr="00CA3B00">
        <w:rPr>
          <w:rFonts w:ascii="Times New Roman" w:eastAsia="Times New Roman" w:hAnsi="Times New Roman" w:cs="Times New Roman"/>
          <w:sz w:val="24"/>
          <w:szCs w:val="24"/>
          <w:lang w:eastAsia="pl-PL"/>
        </w:rPr>
        <w:t>inny rodzaj</w:t>
      </w:r>
    </w:p>
    <w:p w14:paraId="16E2B1D6" w14:textId="77777777" w:rsidR="00CA3B00" w:rsidRPr="00CA3B00" w:rsidRDefault="00CA3B00" w:rsidP="00CA3B00">
      <w:pPr>
        <w:tabs>
          <w:tab w:val="left" w:pos="3969"/>
        </w:tabs>
        <w:spacing w:after="0" w:line="240" w:lineRule="auto"/>
        <w:jc w:val="both"/>
        <w:rPr>
          <w:rFonts w:ascii="Times New Roman" w:eastAsia="Calibri" w:hAnsi="Times New Roman" w:cs="Times New Roman"/>
          <w:sz w:val="24"/>
          <w:szCs w:val="24"/>
          <w:lang w:eastAsia="pl-PL"/>
        </w:rPr>
      </w:pPr>
    </w:p>
    <w:p w14:paraId="11CD2840" w14:textId="77777777" w:rsidR="00CA3B00" w:rsidRPr="00CA3B00" w:rsidRDefault="00CA3B00" w:rsidP="00CA3B00">
      <w:pPr>
        <w:spacing w:after="0" w:line="240" w:lineRule="auto"/>
        <w:ind w:left="426"/>
        <w:jc w:val="both"/>
        <w:rPr>
          <w:rFonts w:ascii="Times New Roman" w:eastAsia="Calibri" w:hAnsi="Times New Roman" w:cs="Times New Roman"/>
          <w:bCs/>
          <w:sz w:val="24"/>
          <w:szCs w:val="24"/>
          <w:lang w:eastAsia="pl-PL"/>
        </w:rPr>
      </w:pPr>
      <w:r w:rsidRPr="00CA3B00">
        <w:rPr>
          <w:rFonts w:ascii="Times New Roman" w:eastAsia="Times New Roman" w:hAnsi="Times New Roman" w:cs="Times New Roman"/>
          <w:sz w:val="24"/>
          <w:szCs w:val="24"/>
          <w:lang w:eastAsia="ar-SA"/>
        </w:rPr>
        <w:t xml:space="preserve">*w rozumieniu </w:t>
      </w:r>
      <w:r w:rsidRPr="00CA3B00">
        <w:rPr>
          <w:rFonts w:ascii="Times New Roman" w:eastAsia="Calibri" w:hAnsi="Times New Roman" w:cs="Times New Roman"/>
          <w:bCs/>
          <w:sz w:val="24"/>
          <w:szCs w:val="24"/>
          <w:lang w:eastAsia="pl-PL"/>
        </w:rPr>
        <w:t xml:space="preserve">Ustawy z dnia 6 marca 2018 r. Prawo Przedsiębiorców </w:t>
      </w:r>
    </w:p>
    <w:p w14:paraId="068DD9FF" w14:textId="77777777" w:rsidR="00CA3B00" w:rsidRPr="00CA3B00" w:rsidRDefault="00CA3B00" w:rsidP="00CA3B00">
      <w:pPr>
        <w:spacing w:after="0" w:line="240" w:lineRule="auto"/>
        <w:ind w:left="426"/>
        <w:jc w:val="both"/>
        <w:rPr>
          <w:rFonts w:ascii="Times New Roman" w:eastAsia="Calibri" w:hAnsi="Times New Roman" w:cs="Times New Roman"/>
          <w:sz w:val="24"/>
          <w:szCs w:val="24"/>
          <w:lang w:eastAsia="pl-PL"/>
        </w:rPr>
      </w:pPr>
    </w:p>
    <w:p w14:paraId="0AF0CEB3" w14:textId="77777777" w:rsidR="00CA3B00" w:rsidRPr="00CA3B00" w:rsidRDefault="00CA3B00" w:rsidP="00CA3B00">
      <w:pPr>
        <w:spacing w:after="0" w:line="240" w:lineRule="auto"/>
        <w:ind w:left="425"/>
        <w:rPr>
          <w:rFonts w:ascii="Times New Roman" w:eastAsia="Times New Roman" w:hAnsi="Times New Roman" w:cs="Times New Roman"/>
          <w:sz w:val="24"/>
          <w:szCs w:val="24"/>
          <w:lang w:eastAsia="pl-PL"/>
        </w:rPr>
      </w:pPr>
      <w:r w:rsidRPr="00CA3B00">
        <w:rPr>
          <w:rFonts w:ascii="Times New Roman" w:eastAsia="Times New Roman" w:hAnsi="Times New Roman" w:cs="Times New Roman"/>
          <w:i/>
          <w:sz w:val="24"/>
          <w:szCs w:val="24"/>
          <w:lang w:eastAsia="pl-PL"/>
        </w:rPr>
        <w:t xml:space="preserve">Przez </w:t>
      </w:r>
      <w:r w:rsidRPr="00CA3B00">
        <w:rPr>
          <w:rFonts w:ascii="Times New Roman" w:eastAsia="Times New Roman" w:hAnsi="Times New Roman" w:cs="Times New Roman"/>
          <w:b/>
          <w:i/>
          <w:sz w:val="24"/>
          <w:szCs w:val="24"/>
          <w:lang w:eastAsia="pl-PL"/>
        </w:rPr>
        <w:t>Mikroprzedsiębiorstwo</w:t>
      </w:r>
      <w:r w:rsidRPr="00CA3B00">
        <w:rPr>
          <w:rFonts w:ascii="Times New Roman" w:eastAsia="Times New Roman" w:hAnsi="Times New Roman" w:cs="Times New Roman"/>
          <w:i/>
          <w:sz w:val="24"/>
          <w:szCs w:val="24"/>
          <w:lang w:eastAsia="pl-PL"/>
        </w:rPr>
        <w:t xml:space="preserve"> rozumie się: przedsiębiorstwo, które zatrudnia mniej niż 10 osób i którego roczny obrót lub roczna suma bilansowa nie przekracza 2 milionów EUR.</w:t>
      </w:r>
    </w:p>
    <w:p w14:paraId="5336724E" w14:textId="77777777" w:rsidR="00CA3B00" w:rsidRPr="00CA3B00" w:rsidRDefault="00CA3B00" w:rsidP="00CA3B00">
      <w:pPr>
        <w:spacing w:after="0" w:line="240" w:lineRule="auto"/>
        <w:ind w:left="425"/>
        <w:rPr>
          <w:rFonts w:ascii="Times New Roman" w:eastAsia="Times New Roman" w:hAnsi="Times New Roman" w:cs="Times New Roman"/>
          <w:sz w:val="24"/>
          <w:szCs w:val="24"/>
          <w:lang w:eastAsia="pl-PL"/>
        </w:rPr>
      </w:pPr>
      <w:r w:rsidRPr="00CA3B00">
        <w:rPr>
          <w:rFonts w:ascii="Times New Roman" w:eastAsia="Times New Roman" w:hAnsi="Times New Roman" w:cs="Times New Roman"/>
          <w:i/>
          <w:sz w:val="24"/>
          <w:szCs w:val="24"/>
          <w:lang w:eastAsia="pl-PL"/>
        </w:rPr>
        <w:t xml:space="preserve">Przez </w:t>
      </w:r>
      <w:r w:rsidRPr="00CA3B00">
        <w:rPr>
          <w:rFonts w:ascii="Times New Roman" w:eastAsia="Times New Roman" w:hAnsi="Times New Roman" w:cs="Times New Roman"/>
          <w:b/>
          <w:i/>
          <w:sz w:val="24"/>
          <w:szCs w:val="24"/>
          <w:lang w:eastAsia="pl-PL"/>
        </w:rPr>
        <w:t>Małe przedsiębiorstwo</w:t>
      </w:r>
      <w:r w:rsidRPr="00CA3B00">
        <w:rPr>
          <w:rFonts w:ascii="Times New Roman" w:eastAsia="Times New Roman" w:hAnsi="Times New Roman" w:cs="Times New Roman"/>
          <w:i/>
          <w:sz w:val="24"/>
          <w:szCs w:val="24"/>
          <w:lang w:eastAsia="pl-PL"/>
        </w:rPr>
        <w:t xml:space="preserve"> rozumie się: przedsiębiorstwo, które zatrudnia mniej niż 50 osób i którego roczny obrót lub roczna suma bilansowa nie przekracza 10 milionów EUR.</w:t>
      </w:r>
    </w:p>
    <w:p w14:paraId="6ACC0CE6" w14:textId="77777777" w:rsidR="00CA3B00" w:rsidRPr="00CA3B00" w:rsidRDefault="00CA3B00" w:rsidP="00CA3B00">
      <w:pPr>
        <w:spacing w:after="0" w:line="240" w:lineRule="auto"/>
        <w:ind w:left="425"/>
        <w:rPr>
          <w:rFonts w:ascii="Times New Roman" w:eastAsia="Times New Roman" w:hAnsi="Times New Roman" w:cs="Times New Roman"/>
          <w:i/>
          <w:sz w:val="24"/>
          <w:szCs w:val="24"/>
          <w:lang w:eastAsia="pl-PL"/>
        </w:rPr>
      </w:pPr>
      <w:r w:rsidRPr="00CA3B00">
        <w:rPr>
          <w:rFonts w:ascii="Times New Roman" w:eastAsia="Times New Roman" w:hAnsi="Times New Roman" w:cs="Times New Roman"/>
          <w:i/>
          <w:sz w:val="24"/>
          <w:szCs w:val="24"/>
          <w:lang w:eastAsia="pl-PL"/>
        </w:rPr>
        <w:t xml:space="preserve">Przez </w:t>
      </w:r>
      <w:r w:rsidRPr="00CA3B00">
        <w:rPr>
          <w:rFonts w:ascii="Times New Roman" w:eastAsia="Times New Roman" w:hAnsi="Times New Roman" w:cs="Times New Roman"/>
          <w:b/>
          <w:i/>
          <w:sz w:val="24"/>
          <w:szCs w:val="24"/>
          <w:lang w:eastAsia="pl-PL"/>
        </w:rPr>
        <w:t>Średnie przedsiębiorstwa</w:t>
      </w:r>
      <w:r w:rsidRPr="00CA3B00">
        <w:rPr>
          <w:rFonts w:ascii="Times New Roman" w:eastAsia="Times New Roman" w:hAnsi="Times New Roman" w:cs="Times New Roman"/>
          <w:i/>
          <w:sz w:val="24"/>
          <w:szCs w:val="24"/>
          <w:lang w:eastAsia="pl-PL"/>
        </w:rPr>
        <w:t xml:space="preserve"> rozumie się: przedsiębiorstwa, które nie są mikroprzedsiębiorstwami ani małymi przedsiębiorstwami i które zatrudniają mniej niż 250 osób, i których roczny obrót nie przekracza 50 milionów EUR lub roczna suma bilansowa nie przekracza 43 milionów EUR.</w:t>
      </w:r>
    </w:p>
    <w:p w14:paraId="3117C958" w14:textId="77777777" w:rsidR="00CA3B00" w:rsidRPr="00CA3B00" w:rsidRDefault="00CA3B00" w:rsidP="00CA3B00">
      <w:pPr>
        <w:shd w:val="clear" w:color="auto" w:fill="FFFFFF"/>
        <w:tabs>
          <w:tab w:val="left" w:pos="426"/>
        </w:tabs>
        <w:spacing w:after="0" w:line="240" w:lineRule="auto"/>
        <w:ind w:left="425"/>
        <w:jc w:val="both"/>
        <w:rPr>
          <w:rFonts w:ascii="Times New Roman" w:eastAsia="Times New Roman" w:hAnsi="Times New Roman" w:cs="Times New Roman"/>
          <w:bCs/>
          <w:spacing w:val="-1"/>
          <w:sz w:val="24"/>
          <w:szCs w:val="24"/>
          <w:highlight w:val="yellow"/>
          <w:lang w:eastAsia="pl-PL"/>
        </w:rPr>
      </w:pPr>
    </w:p>
    <w:p w14:paraId="7893FD1F" w14:textId="77777777" w:rsidR="00CA3B00" w:rsidRPr="00CA3B00" w:rsidRDefault="00CA3B00" w:rsidP="00CA3B00">
      <w:pPr>
        <w:shd w:val="clear" w:color="auto" w:fill="FFFFFF"/>
        <w:tabs>
          <w:tab w:val="left" w:pos="426"/>
        </w:tabs>
        <w:spacing w:after="0" w:line="240" w:lineRule="auto"/>
        <w:ind w:left="284" w:hanging="284"/>
        <w:jc w:val="both"/>
        <w:rPr>
          <w:rFonts w:ascii="Times New Roman" w:eastAsia="Times New Roman" w:hAnsi="Times New Roman" w:cs="Times New Roman"/>
          <w:bCs/>
          <w:spacing w:val="-1"/>
          <w:sz w:val="24"/>
          <w:szCs w:val="24"/>
          <w:lang w:eastAsia="pl-PL"/>
        </w:rPr>
      </w:pPr>
      <w:r w:rsidRPr="00CA3B00">
        <w:rPr>
          <w:rFonts w:ascii="Times New Roman" w:eastAsia="Times New Roman" w:hAnsi="Times New Roman" w:cs="Times New Roman"/>
          <w:bCs/>
          <w:spacing w:val="-1"/>
          <w:sz w:val="24"/>
          <w:szCs w:val="24"/>
          <w:lang w:eastAsia="pl-PL"/>
        </w:rPr>
        <w:tab/>
        <w:t xml:space="preserve">** W przypadku składania oferty wspólnej ww. oświadczenie składa każdy z wykonawców we własnym imieniu. </w:t>
      </w:r>
    </w:p>
    <w:p w14:paraId="60628B64" w14:textId="77777777" w:rsidR="00CA3B00" w:rsidRPr="00CA3B00" w:rsidRDefault="00CA3B00" w:rsidP="00CA3B00">
      <w:pPr>
        <w:shd w:val="clear" w:color="auto" w:fill="FFFFFF"/>
        <w:tabs>
          <w:tab w:val="left" w:pos="426"/>
        </w:tabs>
        <w:spacing w:after="0" w:line="240" w:lineRule="auto"/>
        <w:ind w:left="284" w:hanging="284"/>
        <w:jc w:val="both"/>
        <w:rPr>
          <w:rFonts w:ascii="Times New Roman" w:eastAsia="Times New Roman" w:hAnsi="Times New Roman" w:cs="Times New Roman"/>
          <w:bCs/>
          <w:spacing w:val="-1"/>
          <w:sz w:val="24"/>
          <w:szCs w:val="24"/>
          <w:lang w:eastAsia="pl-PL"/>
        </w:rPr>
      </w:pPr>
      <w:r w:rsidRPr="00CA3B00">
        <w:rPr>
          <w:rFonts w:ascii="Times New Roman" w:eastAsia="Times New Roman" w:hAnsi="Times New Roman" w:cs="Times New Roman"/>
          <w:bCs/>
          <w:spacing w:val="-1"/>
          <w:sz w:val="24"/>
          <w:szCs w:val="24"/>
          <w:lang w:eastAsia="pl-PL"/>
        </w:rPr>
        <w:tab/>
        <w:t>W takim przypadku proszę informacje z pkt 4 skopiować tyle razy, ile podmiotów składa ofertę wspólną, z oznaczeniem, którego podmiotu dotyczy dana informacja, albo wypisać wszystkie podmioty, składające ofertę wspólną, wraz z informacją, jakiego rodzaju podmiotem jest dany wykonawca.</w:t>
      </w:r>
    </w:p>
    <w:p w14:paraId="3F8A625B" w14:textId="77777777" w:rsidR="00CA3B00" w:rsidRPr="00CA3B00" w:rsidRDefault="00CA3B00" w:rsidP="00CA3B00">
      <w:pPr>
        <w:shd w:val="clear" w:color="auto" w:fill="FFFFFF"/>
        <w:tabs>
          <w:tab w:val="left" w:pos="426"/>
        </w:tabs>
        <w:spacing w:after="0" w:line="240" w:lineRule="auto"/>
        <w:ind w:left="284" w:hanging="284"/>
        <w:jc w:val="both"/>
        <w:rPr>
          <w:rFonts w:ascii="Times New Roman" w:eastAsia="Times New Roman" w:hAnsi="Times New Roman" w:cs="Times New Roman"/>
          <w:bCs/>
          <w:spacing w:val="-1"/>
          <w:sz w:val="24"/>
          <w:szCs w:val="24"/>
          <w:lang w:eastAsia="pl-PL"/>
        </w:rPr>
      </w:pPr>
    </w:p>
    <w:p w14:paraId="3AEC0D88" w14:textId="77777777" w:rsidR="00CA3B00" w:rsidRPr="00CA3B00" w:rsidRDefault="00CA3B00" w:rsidP="00CA3B00">
      <w:pPr>
        <w:numPr>
          <w:ilvl w:val="3"/>
          <w:numId w:val="1"/>
        </w:numPr>
        <w:tabs>
          <w:tab w:val="left" w:pos="142"/>
        </w:tabs>
        <w:ind w:left="142" w:hanging="426"/>
        <w:contextualSpacing/>
        <w:jc w:val="both"/>
        <w:rPr>
          <w:rFonts w:ascii="Times New Roman" w:eastAsia="Times New Roman" w:hAnsi="Times New Roman" w:cs="Times New Roman"/>
          <w:bCs/>
          <w:sz w:val="24"/>
          <w:szCs w:val="24"/>
          <w:lang w:eastAsia="pl-PL"/>
        </w:rPr>
      </w:pPr>
      <w:r w:rsidRPr="00CA3B00">
        <w:rPr>
          <w:rFonts w:ascii="Times New Roman" w:eastAsia="Times New Roman" w:hAnsi="Times New Roman" w:cs="Times New Roman"/>
          <w:color w:val="00000A"/>
          <w:sz w:val="24"/>
          <w:szCs w:val="24"/>
          <w:lang w:eastAsia="pl-PL"/>
        </w:rPr>
        <w:t>Oświadczamy, że zapoznaliśmy się ze Specyfikacją Warunków Zamówienia i nie wnosimy do niej zastrzeżeń oraz zdobyliśmy wszystkie konieczne informacje do przygotowania oferty zapewniającej pełne i prawidłowe wykonanie przedmiotu zamówienia.</w:t>
      </w:r>
    </w:p>
    <w:p w14:paraId="0CCFF765" w14:textId="77777777" w:rsidR="00CA3B00" w:rsidRPr="00CA3B00" w:rsidRDefault="00CA3B00" w:rsidP="00CA3B00">
      <w:pPr>
        <w:tabs>
          <w:tab w:val="left" w:pos="142"/>
        </w:tabs>
        <w:ind w:left="142"/>
        <w:contextualSpacing/>
        <w:jc w:val="both"/>
        <w:rPr>
          <w:rFonts w:ascii="Times New Roman" w:eastAsia="Times New Roman" w:hAnsi="Times New Roman" w:cs="Times New Roman"/>
          <w:bCs/>
          <w:sz w:val="24"/>
          <w:szCs w:val="24"/>
          <w:lang w:eastAsia="pl-PL"/>
        </w:rPr>
      </w:pPr>
    </w:p>
    <w:p w14:paraId="2152A121" w14:textId="77777777" w:rsidR="00CA3B00" w:rsidRPr="00CA3B00" w:rsidRDefault="00CA3B00" w:rsidP="00CA3B00">
      <w:pPr>
        <w:numPr>
          <w:ilvl w:val="3"/>
          <w:numId w:val="1"/>
        </w:numPr>
        <w:tabs>
          <w:tab w:val="left" w:pos="142"/>
        </w:tabs>
        <w:ind w:left="142" w:hanging="426"/>
        <w:contextualSpacing/>
        <w:jc w:val="both"/>
        <w:rPr>
          <w:rFonts w:ascii="Times New Roman" w:eastAsia="Times New Roman" w:hAnsi="Times New Roman" w:cs="Times New Roman"/>
          <w:bCs/>
          <w:sz w:val="24"/>
          <w:szCs w:val="24"/>
          <w:lang w:eastAsia="pl-PL"/>
        </w:rPr>
      </w:pPr>
      <w:r w:rsidRPr="00CA3B00">
        <w:rPr>
          <w:rFonts w:ascii="Times New Roman" w:eastAsia="Times New Roman" w:hAnsi="Times New Roman" w:cs="Times New Roman"/>
          <w:bCs/>
          <w:sz w:val="24"/>
          <w:szCs w:val="24"/>
          <w:lang w:eastAsia="pl-PL"/>
        </w:rPr>
        <w:t>Oświadczamy, że jesteśmy związani niniejszą ofertą na czas wskazany w Specyfikacji Warunków Zamówienia.</w:t>
      </w:r>
    </w:p>
    <w:p w14:paraId="79FC34BE" w14:textId="77777777" w:rsidR="00CA3B00" w:rsidRPr="00CA3B00" w:rsidRDefault="00CA3B00" w:rsidP="00CA3B00">
      <w:pPr>
        <w:spacing w:after="0" w:line="240" w:lineRule="auto"/>
        <w:ind w:left="720"/>
        <w:contextualSpacing/>
        <w:rPr>
          <w:rFonts w:ascii="Times New Roman" w:eastAsia="Times New Roman" w:hAnsi="Times New Roman" w:cs="Times New Roman"/>
          <w:bCs/>
          <w:sz w:val="24"/>
          <w:szCs w:val="24"/>
          <w:lang w:eastAsia="pl-PL"/>
        </w:rPr>
      </w:pPr>
    </w:p>
    <w:p w14:paraId="5B806158" w14:textId="77777777" w:rsidR="00CA3B00" w:rsidRPr="00CA3B00" w:rsidRDefault="00CA3B00" w:rsidP="00CA3B00">
      <w:pPr>
        <w:numPr>
          <w:ilvl w:val="3"/>
          <w:numId w:val="1"/>
        </w:numPr>
        <w:tabs>
          <w:tab w:val="left" w:pos="142"/>
        </w:tabs>
        <w:ind w:left="142" w:hanging="426"/>
        <w:contextualSpacing/>
        <w:jc w:val="both"/>
        <w:rPr>
          <w:rFonts w:ascii="Times New Roman" w:eastAsia="Times New Roman" w:hAnsi="Times New Roman" w:cs="Times New Roman"/>
          <w:bCs/>
          <w:sz w:val="24"/>
          <w:szCs w:val="24"/>
          <w:lang w:eastAsia="pl-PL"/>
        </w:rPr>
      </w:pPr>
      <w:r w:rsidRPr="00CA3B00">
        <w:rPr>
          <w:rFonts w:ascii="Times New Roman" w:eastAsia="Times New Roman" w:hAnsi="Times New Roman" w:cs="Times New Roman"/>
          <w:bCs/>
          <w:sz w:val="24"/>
          <w:szCs w:val="24"/>
          <w:lang w:eastAsia="pl-PL"/>
        </w:rPr>
        <w:t xml:space="preserve">Oświadczamy, że zawarte w Specyfikacji Warunków Zamówienia w projektowane postanowienia umowy zostały przez nas zaakceptowane i zobowiązujemy się w przypadku wyboru naszej oferty do zawarcia umowy w miejscu i terminie wyznaczonym przez Zamawiającego. </w:t>
      </w:r>
    </w:p>
    <w:p w14:paraId="672364C7" w14:textId="77777777" w:rsidR="00CA3B00" w:rsidRPr="00CA3B00" w:rsidRDefault="00CA3B00" w:rsidP="00CA3B00">
      <w:pPr>
        <w:tabs>
          <w:tab w:val="left" w:pos="142"/>
        </w:tabs>
        <w:spacing w:after="0" w:line="240" w:lineRule="auto"/>
        <w:ind w:left="142"/>
        <w:contextualSpacing/>
        <w:jc w:val="both"/>
        <w:rPr>
          <w:rFonts w:ascii="Times New Roman" w:eastAsia="Times New Roman" w:hAnsi="Times New Roman" w:cs="Times New Roman"/>
          <w:bCs/>
          <w:sz w:val="24"/>
          <w:szCs w:val="24"/>
          <w:lang w:eastAsia="pl-PL"/>
        </w:rPr>
      </w:pPr>
    </w:p>
    <w:p w14:paraId="53DE1124" w14:textId="77777777" w:rsidR="00CA3B00" w:rsidRPr="00CA3B00" w:rsidRDefault="00CA3B00" w:rsidP="00CA3B00">
      <w:pPr>
        <w:numPr>
          <w:ilvl w:val="3"/>
          <w:numId w:val="1"/>
        </w:numPr>
        <w:tabs>
          <w:tab w:val="left" w:pos="142"/>
        </w:tabs>
        <w:ind w:hanging="3884"/>
        <w:contextualSpacing/>
        <w:jc w:val="both"/>
        <w:rPr>
          <w:rFonts w:ascii="Times New Roman" w:eastAsia="Times New Roman" w:hAnsi="Times New Roman" w:cs="Times New Roman"/>
          <w:bCs/>
          <w:sz w:val="24"/>
          <w:szCs w:val="24"/>
          <w:lang w:eastAsia="pl-PL"/>
        </w:rPr>
      </w:pPr>
      <w:r w:rsidRPr="00CA3B00">
        <w:rPr>
          <w:rFonts w:ascii="Times New Roman" w:eastAsia="Times New Roman" w:hAnsi="Times New Roman" w:cs="Times New Roman"/>
          <w:b/>
          <w:sz w:val="24"/>
          <w:szCs w:val="24"/>
          <w:lang w:eastAsia="pl-PL"/>
        </w:rPr>
        <w:t>Wspólne ubieganie się o udzielenie zamówienia (konsorcjum/spółka cywilna)</w:t>
      </w:r>
    </w:p>
    <w:p w14:paraId="09446CAC" w14:textId="77777777" w:rsidR="00CA3B00" w:rsidRPr="00CA3B00" w:rsidRDefault="00CA3B00" w:rsidP="00CA3B00">
      <w:pPr>
        <w:widowControl w:val="0"/>
        <w:tabs>
          <w:tab w:val="left" w:pos="284"/>
          <w:tab w:val="left" w:pos="8460"/>
          <w:tab w:val="left" w:pos="8910"/>
        </w:tabs>
        <w:spacing w:after="0" w:line="240" w:lineRule="auto"/>
        <w:ind w:left="284" w:hanging="426"/>
        <w:contextualSpacing/>
        <w:jc w:val="both"/>
        <w:rPr>
          <w:rFonts w:ascii="Times New Roman" w:eastAsiaTheme="minorEastAsia" w:hAnsi="Times New Roman" w:cs="Times New Roman"/>
          <w:sz w:val="24"/>
          <w:szCs w:val="24"/>
          <w:lang w:eastAsia="pl-PL"/>
        </w:rPr>
      </w:pPr>
      <w:r w:rsidRPr="00CA3B00">
        <w:rPr>
          <w:rFonts w:ascii="Times New Roman" w:eastAsiaTheme="minorEastAsia" w:hAnsi="Times New Roman" w:cs="Times New Roman"/>
          <w:sz w:val="24"/>
          <w:szCs w:val="24"/>
          <w:lang w:eastAsia="pl-PL"/>
        </w:rPr>
        <w:tab/>
        <w:t>Oświadczam, że w związku z wspólnym ubieganiem się o udzielenie zamówienia poszczególni wykonawcy wykonają następujące usługi:</w:t>
      </w:r>
    </w:p>
    <w:p w14:paraId="2109A6C0" w14:textId="77777777" w:rsidR="00CA3B00" w:rsidRPr="00CA3B00" w:rsidRDefault="00CA3B00" w:rsidP="00CA3B00">
      <w:pPr>
        <w:spacing w:after="0" w:line="240" w:lineRule="auto"/>
        <w:jc w:val="both"/>
        <w:rPr>
          <w:rFonts w:ascii="Times New Roman" w:eastAsia="Times New Roman" w:hAnsi="Times New Roman" w:cs="Times New Roman"/>
          <w:color w:val="FF0000"/>
          <w:sz w:val="24"/>
          <w:szCs w:val="24"/>
          <w:lang w:eastAsia="pl-PL"/>
        </w:rPr>
      </w:pPr>
    </w:p>
    <w:tbl>
      <w:tblPr>
        <w:tblW w:w="84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360"/>
        <w:gridCol w:w="3366"/>
      </w:tblGrid>
      <w:tr w:rsidR="00CA3B00" w:rsidRPr="00CA3B00" w14:paraId="09AD0EA2" w14:textId="77777777" w:rsidTr="00735AAD">
        <w:trPr>
          <w:trHeight w:val="429"/>
          <w:jc w:val="center"/>
        </w:trPr>
        <w:tc>
          <w:tcPr>
            <w:tcW w:w="709" w:type="dxa"/>
            <w:tcBorders>
              <w:top w:val="single" w:sz="4" w:space="0" w:color="auto"/>
              <w:left w:val="single" w:sz="4" w:space="0" w:color="auto"/>
              <w:bottom w:val="single" w:sz="4" w:space="0" w:color="auto"/>
              <w:right w:val="single" w:sz="4" w:space="0" w:color="auto"/>
            </w:tcBorders>
            <w:vAlign w:val="center"/>
            <w:hideMark/>
          </w:tcPr>
          <w:p w14:paraId="0A4EEA4C"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r w:rsidRPr="00CA3B00">
              <w:rPr>
                <w:rFonts w:ascii="Times New Roman" w:eastAsia="Times New Roman" w:hAnsi="Times New Roman" w:cs="Times New Roman"/>
                <w:b/>
                <w:sz w:val="24"/>
                <w:szCs w:val="24"/>
                <w:lang w:eastAsia="pl-PL"/>
              </w:rPr>
              <w:t>Lp.</w:t>
            </w:r>
          </w:p>
        </w:tc>
        <w:tc>
          <w:tcPr>
            <w:tcW w:w="4360" w:type="dxa"/>
            <w:tcBorders>
              <w:top w:val="single" w:sz="4" w:space="0" w:color="auto"/>
              <w:left w:val="single" w:sz="4" w:space="0" w:color="auto"/>
              <w:bottom w:val="single" w:sz="4" w:space="0" w:color="auto"/>
              <w:right w:val="single" w:sz="4" w:space="0" w:color="auto"/>
            </w:tcBorders>
            <w:vAlign w:val="center"/>
            <w:hideMark/>
          </w:tcPr>
          <w:p w14:paraId="107F1139"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r w:rsidRPr="00CA3B00">
              <w:rPr>
                <w:rFonts w:ascii="Times New Roman" w:eastAsia="Times New Roman" w:hAnsi="Times New Roman" w:cs="Times New Roman"/>
                <w:b/>
                <w:sz w:val="24"/>
                <w:szCs w:val="24"/>
                <w:lang w:eastAsia="pl-PL"/>
              </w:rPr>
              <w:t>Firma (nazwa) wykonawcy wspólnie ubiegającego się o udzielenie zamówienia</w:t>
            </w:r>
          </w:p>
        </w:tc>
        <w:tc>
          <w:tcPr>
            <w:tcW w:w="3366" w:type="dxa"/>
            <w:tcBorders>
              <w:top w:val="single" w:sz="4" w:space="0" w:color="auto"/>
              <w:left w:val="single" w:sz="4" w:space="0" w:color="auto"/>
              <w:bottom w:val="single" w:sz="4" w:space="0" w:color="auto"/>
              <w:right w:val="single" w:sz="4" w:space="0" w:color="auto"/>
            </w:tcBorders>
            <w:vAlign w:val="center"/>
            <w:hideMark/>
          </w:tcPr>
          <w:p w14:paraId="75C4603E"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r w:rsidRPr="00CA3B00">
              <w:rPr>
                <w:rFonts w:ascii="Times New Roman" w:eastAsia="Times New Roman" w:hAnsi="Times New Roman" w:cs="Times New Roman"/>
                <w:b/>
                <w:sz w:val="24"/>
                <w:szCs w:val="24"/>
                <w:lang w:eastAsia="pl-PL"/>
              </w:rPr>
              <w:t>Wskazanie usług, które będą wykonane przez wykonawcę</w:t>
            </w:r>
          </w:p>
        </w:tc>
      </w:tr>
      <w:tr w:rsidR="00CA3B00" w:rsidRPr="00CA3B00" w14:paraId="21898B2E" w14:textId="77777777" w:rsidTr="00735AAD">
        <w:trPr>
          <w:trHeight w:val="409"/>
          <w:jc w:val="center"/>
        </w:trPr>
        <w:tc>
          <w:tcPr>
            <w:tcW w:w="709" w:type="dxa"/>
            <w:tcBorders>
              <w:top w:val="single" w:sz="4" w:space="0" w:color="auto"/>
              <w:left w:val="single" w:sz="4" w:space="0" w:color="auto"/>
              <w:bottom w:val="single" w:sz="4" w:space="0" w:color="auto"/>
              <w:right w:val="single" w:sz="4" w:space="0" w:color="auto"/>
            </w:tcBorders>
            <w:vAlign w:val="center"/>
            <w:hideMark/>
          </w:tcPr>
          <w:p w14:paraId="4F1703BD"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r w:rsidRPr="00CA3B00">
              <w:rPr>
                <w:rFonts w:ascii="Times New Roman" w:eastAsia="Times New Roman" w:hAnsi="Times New Roman" w:cs="Times New Roman"/>
                <w:b/>
                <w:sz w:val="24"/>
                <w:szCs w:val="24"/>
                <w:lang w:eastAsia="pl-PL"/>
              </w:rPr>
              <w:t>1.</w:t>
            </w:r>
          </w:p>
        </w:tc>
        <w:tc>
          <w:tcPr>
            <w:tcW w:w="4360" w:type="dxa"/>
            <w:tcBorders>
              <w:top w:val="single" w:sz="4" w:space="0" w:color="auto"/>
              <w:left w:val="single" w:sz="4" w:space="0" w:color="auto"/>
              <w:bottom w:val="single" w:sz="4" w:space="0" w:color="auto"/>
              <w:right w:val="single" w:sz="4" w:space="0" w:color="auto"/>
            </w:tcBorders>
            <w:vAlign w:val="center"/>
          </w:tcPr>
          <w:p w14:paraId="40F74DEA"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p>
        </w:tc>
        <w:tc>
          <w:tcPr>
            <w:tcW w:w="3366" w:type="dxa"/>
            <w:tcBorders>
              <w:top w:val="single" w:sz="4" w:space="0" w:color="auto"/>
              <w:left w:val="single" w:sz="4" w:space="0" w:color="auto"/>
              <w:bottom w:val="single" w:sz="4" w:space="0" w:color="auto"/>
              <w:right w:val="single" w:sz="4" w:space="0" w:color="auto"/>
            </w:tcBorders>
            <w:vAlign w:val="center"/>
          </w:tcPr>
          <w:p w14:paraId="6A74E531"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p>
        </w:tc>
      </w:tr>
      <w:tr w:rsidR="00CA3B00" w:rsidRPr="00CA3B00" w14:paraId="5094F54A" w14:textId="77777777" w:rsidTr="00735AAD">
        <w:trPr>
          <w:trHeight w:val="400"/>
          <w:jc w:val="center"/>
        </w:trPr>
        <w:tc>
          <w:tcPr>
            <w:tcW w:w="709" w:type="dxa"/>
            <w:tcBorders>
              <w:top w:val="single" w:sz="4" w:space="0" w:color="auto"/>
              <w:left w:val="single" w:sz="4" w:space="0" w:color="auto"/>
              <w:bottom w:val="single" w:sz="4" w:space="0" w:color="auto"/>
              <w:right w:val="single" w:sz="4" w:space="0" w:color="auto"/>
            </w:tcBorders>
            <w:vAlign w:val="center"/>
            <w:hideMark/>
          </w:tcPr>
          <w:p w14:paraId="34AD1949"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r w:rsidRPr="00CA3B00">
              <w:rPr>
                <w:rFonts w:ascii="Times New Roman" w:eastAsia="Times New Roman" w:hAnsi="Times New Roman" w:cs="Times New Roman"/>
                <w:b/>
                <w:sz w:val="24"/>
                <w:szCs w:val="24"/>
                <w:lang w:eastAsia="pl-PL"/>
              </w:rPr>
              <w:t>2.</w:t>
            </w:r>
          </w:p>
        </w:tc>
        <w:tc>
          <w:tcPr>
            <w:tcW w:w="4360" w:type="dxa"/>
            <w:tcBorders>
              <w:top w:val="single" w:sz="4" w:space="0" w:color="auto"/>
              <w:left w:val="single" w:sz="4" w:space="0" w:color="auto"/>
              <w:bottom w:val="single" w:sz="4" w:space="0" w:color="auto"/>
              <w:right w:val="single" w:sz="4" w:space="0" w:color="auto"/>
            </w:tcBorders>
            <w:vAlign w:val="center"/>
          </w:tcPr>
          <w:p w14:paraId="6FAFDA7C"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p>
        </w:tc>
        <w:tc>
          <w:tcPr>
            <w:tcW w:w="3366" w:type="dxa"/>
            <w:tcBorders>
              <w:top w:val="single" w:sz="4" w:space="0" w:color="auto"/>
              <w:left w:val="single" w:sz="4" w:space="0" w:color="auto"/>
              <w:bottom w:val="single" w:sz="4" w:space="0" w:color="auto"/>
              <w:right w:val="single" w:sz="4" w:space="0" w:color="auto"/>
            </w:tcBorders>
            <w:vAlign w:val="center"/>
          </w:tcPr>
          <w:p w14:paraId="485DC680"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p>
        </w:tc>
      </w:tr>
      <w:tr w:rsidR="00CA3B00" w:rsidRPr="00CA3B00" w14:paraId="1AA5856F" w14:textId="77777777" w:rsidTr="00735AAD">
        <w:trPr>
          <w:trHeight w:val="400"/>
          <w:jc w:val="center"/>
        </w:trPr>
        <w:tc>
          <w:tcPr>
            <w:tcW w:w="709" w:type="dxa"/>
            <w:tcBorders>
              <w:top w:val="single" w:sz="4" w:space="0" w:color="auto"/>
              <w:left w:val="single" w:sz="4" w:space="0" w:color="auto"/>
              <w:bottom w:val="single" w:sz="4" w:space="0" w:color="auto"/>
              <w:right w:val="single" w:sz="4" w:space="0" w:color="auto"/>
            </w:tcBorders>
            <w:vAlign w:val="center"/>
            <w:hideMark/>
          </w:tcPr>
          <w:p w14:paraId="7D92FB16"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r w:rsidRPr="00CA3B00">
              <w:rPr>
                <w:rFonts w:ascii="Times New Roman" w:eastAsia="Times New Roman" w:hAnsi="Times New Roman" w:cs="Times New Roman"/>
                <w:b/>
                <w:sz w:val="24"/>
                <w:szCs w:val="24"/>
                <w:lang w:eastAsia="pl-PL"/>
              </w:rPr>
              <w:t>3.</w:t>
            </w:r>
          </w:p>
        </w:tc>
        <w:tc>
          <w:tcPr>
            <w:tcW w:w="4360" w:type="dxa"/>
            <w:tcBorders>
              <w:top w:val="single" w:sz="4" w:space="0" w:color="auto"/>
              <w:left w:val="single" w:sz="4" w:space="0" w:color="auto"/>
              <w:bottom w:val="single" w:sz="4" w:space="0" w:color="auto"/>
              <w:right w:val="single" w:sz="4" w:space="0" w:color="auto"/>
            </w:tcBorders>
            <w:vAlign w:val="center"/>
          </w:tcPr>
          <w:p w14:paraId="0AB767B7"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p>
        </w:tc>
        <w:tc>
          <w:tcPr>
            <w:tcW w:w="3366" w:type="dxa"/>
            <w:tcBorders>
              <w:top w:val="single" w:sz="4" w:space="0" w:color="auto"/>
              <w:left w:val="single" w:sz="4" w:space="0" w:color="auto"/>
              <w:bottom w:val="single" w:sz="4" w:space="0" w:color="auto"/>
              <w:right w:val="single" w:sz="4" w:space="0" w:color="auto"/>
            </w:tcBorders>
            <w:vAlign w:val="center"/>
          </w:tcPr>
          <w:p w14:paraId="3912A089" w14:textId="77777777" w:rsidR="00CA3B00" w:rsidRPr="00CA3B00" w:rsidRDefault="00CA3B00" w:rsidP="00CA3B00">
            <w:pPr>
              <w:spacing w:after="0" w:line="240" w:lineRule="auto"/>
              <w:jc w:val="center"/>
              <w:rPr>
                <w:rFonts w:ascii="Times New Roman" w:eastAsia="Times New Roman" w:hAnsi="Times New Roman" w:cs="Times New Roman"/>
                <w:b/>
                <w:sz w:val="24"/>
                <w:szCs w:val="24"/>
                <w:lang w:eastAsia="pl-PL"/>
              </w:rPr>
            </w:pPr>
          </w:p>
        </w:tc>
      </w:tr>
    </w:tbl>
    <w:p w14:paraId="5AFCA8BF" w14:textId="77777777" w:rsidR="00CA3B00" w:rsidRPr="00CA3B00" w:rsidRDefault="00CA3B00" w:rsidP="00CA3B00">
      <w:pPr>
        <w:spacing w:after="0" w:line="240" w:lineRule="auto"/>
        <w:ind w:left="360" w:hanging="360"/>
        <w:jc w:val="center"/>
        <w:rPr>
          <w:rFonts w:ascii="Times New Roman" w:eastAsia="Times New Roman" w:hAnsi="Times New Roman" w:cs="Times New Roman"/>
          <w:i/>
          <w:sz w:val="24"/>
          <w:szCs w:val="24"/>
          <w:lang w:eastAsia="pl-PL"/>
        </w:rPr>
      </w:pPr>
      <w:r w:rsidRPr="00CA3B00">
        <w:rPr>
          <w:rFonts w:ascii="Times New Roman" w:eastAsia="Times New Roman" w:hAnsi="Times New Roman" w:cs="Times New Roman"/>
          <w:i/>
          <w:sz w:val="24"/>
          <w:szCs w:val="24"/>
          <w:lang w:eastAsia="pl-PL"/>
        </w:rPr>
        <w:t xml:space="preserve">(należy wypełnić tylko w przypadku </w:t>
      </w:r>
      <w:r w:rsidRPr="00CA3B00">
        <w:rPr>
          <w:rFonts w:ascii="Times New Roman" w:eastAsia="Times New Roman" w:hAnsi="Times New Roman" w:cs="Times New Roman"/>
          <w:i/>
          <w:sz w:val="24"/>
          <w:szCs w:val="24"/>
          <w:u w:val="single"/>
          <w:lang w:eastAsia="pl-PL"/>
        </w:rPr>
        <w:t>wspólnego ubiegania się wykonawców o udzielenie zamówienia</w:t>
      </w:r>
      <w:r w:rsidRPr="00CA3B00">
        <w:rPr>
          <w:rFonts w:ascii="Times New Roman" w:eastAsia="Times New Roman" w:hAnsi="Times New Roman" w:cs="Times New Roman"/>
          <w:i/>
          <w:sz w:val="24"/>
          <w:szCs w:val="24"/>
          <w:lang w:eastAsia="pl-PL"/>
        </w:rPr>
        <w:t>)</w:t>
      </w:r>
    </w:p>
    <w:p w14:paraId="29E294C9" w14:textId="77777777" w:rsidR="00CA3B00" w:rsidRPr="00CA3B00" w:rsidRDefault="00CA3B00" w:rsidP="00CA3B00">
      <w:pPr>
        <w:tabs>
          <w:tab w:val="left" w:pos="1276"/>
        </w:tabs>
        <w:spacing w:after="0" w:line="240" w:lineRule="auto"/>
        <w:jc w:val="both"/>
        <w:rPr>
          <w:rFonts w:ascii="Times New Roman" w:eastAsia="Times New Roman" w:hAnsi="Times New Roman" w:cs="Times New Roman"/>
          <w:bCs/>
          <w:i/>
          <w:sz w:val="24"/>
          <w:szCs w:val="24"/>
          <w:lang w:eastAsia="zh-CN"/>
        </w:rPr>
      </w:pPr>
    </w:p>
    <w:p w14:paraId="74729DFC" w14:textId="77777777" w:rsidR="00CA3B00" w:rsidRPr="00CA3B00" w:rsidRDefault="00CA3B00" w:rsidP="00CA3B00">
      <w:pPr>
        <w:numPr>
          <w:ilvl w:val="3"/>
          <w:numId w:val="1"/>
        </w:numPr>
        <w:spacing w:after="0" w:line="240" w:lineRule="auto"/>
        <w:ind w:left="142" w:hanging="568"/>
        <w:contextualSpacing/>
        <w:jc w:val="both"/>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Oświadczam, że oferta nie zawiera/zawiera (właściwe podkreślić) informacji stanowiących tajemnicę przedsiębiorstwa w rozumieniu ustawy z dnia 16 kwietnia 1993r. o zwalczaniu nieuczciwej konkurencji. Informacje takie zawarte są w następujących dokumentach:</w:t>
      </w:r>
    </w:p>
    <w:p w14:paraId="6C23CAE0" w14:textId="77777777" w:rsidR="00CA3B00" w:rsidRPr="00CA3B00" w:rsidRDefault="00CA3B00" w:rsidP="00CA3B00">
      <w:pPr>
        <w:spacing w:after="0" w:line="240" w:lineRule="auto"/>
        <w:ind w:left="426"/>
        <w:jc w:val="both"/>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w:t>
      </w:r>
    </w:p>
    <w:p w14:paraId="342AD6CE" w14:textId="77777777" w:rsidR="00CA3B00" w:rsidRPr="00CA3B00" w:rsidRDefault="00CA3B00" w:rsidP="00CA3B00">
      <w:pPr>
        <w:spacing w:after="0" w:line="240" w:lineRule="auto"/>
        <w:ind w:left="426"/>
        <w:jc w:val="both"/>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w:t>
      </w:r>
    </w:p>
    <w:p w14:paraId="6A7F782C" w14:textId="77777777" w:rsidR="00CA3B00" w:rsidRPr="00CA3B00" w:rsidRDefault="00CA3B00" w:rsidP="00CA3B00">
      <w:pPr>
        <w:spacing w:after="0" w:line="240" w:lineRule="auto"/>
        <w:ind w:left="426"/>
        <w:jc w:val="both"/>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w:t>
      </w:r>
    </w:p>
    <w:p w14:paraId="373219EF" w14:textId="77777777" w:rsidR="00CA3B00" w:rsidRPr="00CA3B00" w:rsidRDefault="00CA3B00" w:rsidP="00CA3B00">
      <w:pPr>
        <w:spacing w:after="0" w:line="240" w:lineRule="auto"/>
        <w:ind w:left="426"/>
        <w:jc w:val="both"/>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Uzasadnienie, iż zastrzeżone informacje stanowią tajemnicę przedsiębiorstwa:</w:t>
      </w:r>
    </w:p>
    <w:p w14:paraId="1819B986" w14:textId="77777777" w:rsidR="00CA3B00" w:rsidRPr="00CA3B00" w:rsidRDefault="00CA3B00" w:rsidP="00CA3B00">
      <w:pPr>
        <w:spacing w:after="0" w:line="240" w:lineRule="auto"/>
        <w:ind w:left="426"/>
        <w:jc w:val="both"/>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w:t>
      </w:r>
    </w:p>
    <w:p w14:paraId="2DEEF909" w14:textId="77777777" w:rsidR="00CA3B00" w:rsidRPr="00CA3B00" w:rsidRDefault="00CA3B00" w:rsidP="00CA3B00">
      <w:pPr>
        <w:spacing w:after="0" w:line="240" w:lineRule="auto"/>
        <w:ind w:left="426"/>
        <w:jc w:val="both"/>
        <w:rPr>
          <w:rFonts w:ascii="Times New Roman" w:eastAsia="Times New Roman" w:hAnsi="Times New Roman" w:cs="Times New Roman"/>
          <w:sz w:val="24"/>
          <w:szCs w:val="24"/>
          <w:lang w:eastAsia="pl-PL"/>
        </w:rPr>
      </w:pPr>
      <w:r w:rsidRPr="00CA3B00">
        <w:rPr>
          <w:rFonts w:ascii="Times New Roman" w:eastAsia="Times New Roman" w:hAnsi="Times New Roman" w:cs="Times New Roman"/>
          <w:sz w:val="24"/>
          <w:szCs w:val="24"/>
          <w:lang w:eastAsia="pl-PL"/>
        </w:rPr>
        <w:t>………………………………………………………………………………………………</w:t>
      </w:r>
    </w:p>
    <w:p w14:paraId="43D4A051" w14:textId="77777777" w:rsidR="00CA3B00" w:rsidRPr="00CA3B00" w:rsidRDefault="00CA3B00" w:rsidP="00CA3B00">
      <w:pPr>
        <w:spacing w:after="0" w:line="240" w:lineRule="auto"/>
        <w:ind w:left="357"/>
        <w:jc w:val="both"/>
        <w:rPr>
          <w:rFonts w:ascii="Times New Roman" w:eastAsia="Times New Roman" w:hAnsi="Times New Roman" w:cs="Times New Roman"/>
          <w:b/>
          <w:sz w:val="24"/>
          <w:szCs w:val="24"/>
          <w:lang w:eastAsia="pl-PL"/>
        </w:rPr>
      </w:pPr>
      <w:r w:rsidRPr="00CA3B00">
        <w:rPr>
          <w:rFonts w:ascii="Times New Roman" w:eastAsia="Times New Roman" w:hAnsi="Times New Roman" w:cs="Times New Roman"/>
          <w:b/>
          <w:sz w:val="24"/>
          <w:szCs w:val="24"/>
          <w:lang w:eastAsia="pl-PL"/>
        </w:rPr>
        <w:t>Uwaga! W przypadku braku wykazania, że informacje zastrzeżone stanowią tajemnicę przedsiębiorstwa lub niewystarczającego uzasadnienia, informacje te zostaną uznane za jawne.</w:t>
      </w:r>
    </w:p>
    <w:p w14:paraId="4F17194B" w14:textId="77777777" w:rsidR="00CA3B00" w:rsidRPr="00CA3B00" w:rsidRDefault="00CA3B00" w:rsidP="00CA3B00">
      <w:pPr>
        <w:ind w:left="284"/>
        <w:contextualSpacing/>
        <w:jc w:val="both"/>
        <w:rPr>
          <w:rFonts w:ascii="Times New Roman" w:eastAsia="Times New Roman" w:hAnsi="Times New Roman" w:cs="Times New Roman"/>
          <w:bCs/>
          <w:sz w:val="24"/>
          <w:szCs w:val="24"/>
          <w:lang w:eastAsia="pl-PL"/>
        </w:rPr>
      </w:pPr>
    </w:p>
    <w:p w14:paraId="4432323B" w14:textId="77777777" w:rsidR="00CA3B00" w:rsidRPr="00CA3B00" w:rsidRDefault="00CA3B00" w:rsidP="00CA3B00">
      <w:pPr>
        <w:numPr>
          <w:ilvl w:val="3"/>
          <w:numId w:val="1"/>
        </w:numPr>
        <w:ind w:left="142" w:hanging="568"/>
        <w:contextualSpacing/>
        <w:jc w:val="both"/>
        <w:rPr>
          <w:rFonts w:ascii="Times New Roman" w:eastAsia="Times New Roman" w:hAnsi="Times New Roman" w:cs="Times New Roman"/>
          <w:bCs/>
          <w:sz w:val="24"/>
          <w:szCs w:val="24"/>
          <w:lang w:eastAsia="pl-PL"/>
        </w:rPr>
      </w:pPr>
      <w:r w:rsidRPr="00CA3B00">
        <w:rPr>
          <w:rFonts w:ascii="Times New Roman" w:eastAsiaTheme="minorEastAsia" w:hAnsi="Times New Roman" w:cs="Times New Roman"/>
          <w:color w:val="00000A"/>
          <w:sz w:val="24"/>
          <w:szCs w:val="24"/>
          <w:lang w:eastAsia="pl-PL"/>
        </w:rPr>
        <w:t>Oświadczamy, że wypełniliśmy obowiązki informacyjne przewidziane w art. 13 lub art. 14 RODO</w:t>
      </w:r>
      <w:r w:rsidRPr="00CA3B00">
        <w:rPr>
          <w:rFonts w:ascii="Times New Roman" w:eastAsia="Times New Roman" w:hAnsi="Times New Roman" w:cs="Times New Roman"/>
          <w:sz w:val="24"/>
          <w:szCs w:val="24"/>
          <w:vertAlign w:val="superscript"/>
          <w:lang w:eastAsia="pl-PL"/>
        </w:rPr>
        <w:footnoteReference w:id="1"/>
      </w:r>
      <w:r w:rsidRPr="00CA3B00">
        <w:rPr>
          <w:rFonts w:ascii="Times New Roman" w:eastAsiaTheme="minorEastAsia" w:hAnsi="Times New Roman" w:cs="Times New Roman"/>
          <w:color w:val="00000A"/>
          <w:sz w:val="24"/>
          <w:szCs w:val="24"/>
          <w:lang w:eastAsia="pl-PL"/>
        </w:rPr>
        <w:t xml:space="preserve"> wobec osób fizycznych, od których dane osobowe bezpośrednio lub pośrednio pozyskaliśmy w celu ubiegania się o udzielenie zamówienia publicznego w niniejszym postępowaniu.</w:t>
      </w:r>
      <w:r w:rsidRPr="00CA3B00">
        <w:rPr>
          <w:rFonts w:ascii="Times New Roman" w:eastAsia="Times New Roman" w:hAnsi="Times New Roman" w:cs="Times New Roman"/>
          <w:sz w:val="24"/>
          <w:szCs w:val="24"/>
          <w:vertAlign w:val="superscript"/>
          <w:lang w:eastAsia="pl-PL"/>
        </w:rPr>
        <w:footnoteReference w:id="2"/>
      </w:r>
    </w:p>
    <w:p w14:paraId="54BDCF0F" w14:textId="77777777" w:rsidR="00CA3B00" w:rsidRPr="00CA3B00" w:rsidRDefault="00CA3B00" w:rsidP="00CA3B00">
      <w:pPr>
        <w:ind w:left="142"/>
        <w:contextualSpacing/>
        <w:jc w:val="both"/>
        <w:rPr>
          <w:rFonts w:ascii="Times New Roman" w:eastAsia="Times New Roman" w:hAnsi="Times New Roman" w:cs="Times New Roman"/>
          <w:bCs/>
          <w:sz w:val="24"/>
          <w:szCs w:val="24"/>
          <w:lang w:eastAsia="pl-PL"/>
        </w:rPr>
      </w:pPr>
    </w:p>
    <w:p w14:paraId="10BD532F" w14:textId="77777777" w:rsidR="00CA3B00" w:rsidRPr="00CA3B00" w:rsidRDefault="00CA3B00" w:rsidP="00CA3B00">
      <w:pPr>
        <w:numPr>
          <w:ilvl w:val="3"/>
          <w:numId w:val="1"/>
        </w:numPr>
        <w:spacing w:after="0" w:line="240" w:lineRule="auto"/>
        <w:ind w:left="284" w:hanging="710"/>
        <w:contextualSpacing/>
        <w:rPr>
          <w:rFonts w:ascii="Times New Roman" w:eastAsia="Times New Roman" w:hAnsi="Times New Roman" w:cs="Times New Roman"/>
          <w:b/>
          <w:bCs/>
          <w:color w:val="00000A"/>
          <w:sz w:val="24"/>
          <w:szCs w:val="24"/>
          <w:lang w:eastAsia="pl-PL"/>
        </w:rPr>
      </w:pPr>
      <w:r w:rsidRPr="00CA3B00">
        <w:rPr>
          <w:rFonts w:ascii="Times New Roman" w:eastAsia="Times New Roman" w:hAnsi="Times New Roman" w:cs="Times New Roman"/>
          <w:b/>
          <w:bCs/>
          <w:color w:val="00000A"/>
          <w:sz w:val="24"/>
          <w:szCs w:val="24"/>
          <w:lang w:eastAsia="pl-PL"/>
        </w:rPr>
        <w:t>Osobą upoważnioną do podpisania niniejszej umowy jest:..............................</w:t>
      </w:r>
    </w:p>
    <w:p w14:paraId="4A2CF8A8" w14:textId="77777777" w:rsidR="00CA3B00" w:rsidRPr="00CA3B00" w:rsidRDefault="00CA3B00" w:rsidP="00CA3B00">
      <w:pPr>
        <w:spacing w:after="0" w:line="240" w:lineRule="auto"/>
        <w:rPr>
          <w:rFonts w:ascii="Times New Roman" w:eastAsia="Times New Roman" w:hAnsi="Times New Roman" w:cs="Times New Roman"/>
          <w:color w:val="00000A"/>
          <w:sz w:val="24"/>
          <w:szCs w:val="24"/>
          <w:lang w:eastAsia="pl-PL"/>
        </w:rPr>
      </w:pPr>
      <w:r w:rsidRPr="00CA3B00">
        <w:rPr>
          <w:rFonts w:ascii="Times New Roman" w:eastAsia="Times New Roman" w:hAnsi="Times New Roman" w:cs="Times New Roman"/>
          <w:color w:val="00000A"/>
          <w:sz w:val="24"/>
          <w:szCs w:val="24"/>
          <w:lang w:eastAsia="pl-PL"/>
        </w:rPr>
        <w:tab/>
      </w:r>
      <w:r w:rsidRPr="00CA3B00">
        <w:rPr>
          <w:rFonts w:ascii="Times New Roman" w:eastAsia="Times New Roman" w:hAnsi="Times New Roman" w:cs="Times New Roman"/>
          <w:color w:val="00000A"/>
          <w:sz w:val="24"/>
          <w:szCs w:val="24"/>
          <w:lang w:eastAsia="pl-PL"/>
        </w:rPr>
        <w:tab/>
      </w:r>
      <w:r w:rsidRPr="00CA3B00">
        <w:rPr>
          <w:rFonts w:ascii="Times New Roman" w:eastAsia="Times New Roman" w:hAnsi="Times New Roman" w:cs="Times New Roman"/>
          <w:color w:val="00000A"/>
          <w:sz w:val="24"/>
          <w:szCs w:val="24"/>
          <w:lang w:eastAsia="pl-PL"/>
        </w:rPr>
        <w:tab/>
      </w:r>
      <w:r w:rsidRPr="00CA3B00">
        <w:rPr>
          <w:rFonts w:ascii="Times New Roman" w:eastAsia="Times New Roman" w:hAnsi="Times New Roman" w:cs="Times New Roman"/>
          <w:color w:val="00000A"/>
          <w:sz w:val="24"/>
          <w:szCs w:val="24"/>
          <w:lang w:eastAsia="pl-PL"/>
        </w:rPr>
        <w:tab/>
      </w:r>
      <w:r w:rsidRPr="00CA3B00">
        <w:rPr>
          <w:rFonts w:ascii="Times New Roman" w:eastAsia="Times New Roman" w:hAnsi="Times New Roman" w:cs="Times New Roman"/>
          <w:color w:val="00000A"/>
          <w:sz w:val="24"/>
          <w:szCs w:val="24"/>
          <w:lang w:eastAsia="pl-PL"/>
        </w:rPr>
        <w:tab/>
      </w:r>
      <w:r w:rsidRPr="00CA3B00">
        <w:rPr>
          <w:rFonts w:ascii="Times New Roman" w:eastAsia="Times New Roman" w:hAnsi="Times New Roman" w:cs="Times New Roman"/>
          <w:color w:val="00000A"/>
          <w:sz w:val="24"/>
          <w:szCs w:val="24"/>
          <w:lang w:eastAsia="pl-PL"/>
        </w:rPr>
        <w:tab/>
      </w:r>
      <w:r w:rsidRPr="00CA3B00">
        <w:rPr>
          <w:rFonts w:ascii="Times New Roman" w:eastAsia="Times New Roman" w:hAnsi="Times New Roman" w:cs="Times New Roman"/>
          <w:color w:val="00000A"/>
          <w:sz w:val="24"/>
          <w:szCs w:val="24"/>
          <w:lang w:eastAsia="pl-PL"/>
        </w:rPr>
        <w:tab/>
        <w:t>(imię, nazwisko, funkcja)</w:t>
      </w:r>
    </w:p>
    <w:p w14:paraId="3A4C22EB" w14:textId="77777777" w:rsidR="00CA3B00" w:rsidRPr="00CA3B00" w:rsidRDefault="00CA3B00" w:rsidP="00CA3B00">
      <w:pPr>
        <w:spacing w:after="0" w:line="240" w:lineRule="auto"/>
        <w:ind w:left="142"/>
        <w:contextualSpacing/>
        <w:rPr>
          <w:rFonts w:ascii="Times New Roman" w:eastAsia="Times New Roman" w:hAnsi="Times New Roman" w:cs="Times New Roman"/>
          <w:color w:val="00000A"/>
          <w:sz w:val="24"/>
          <w:szCs w:val="24"/>
          <w:lang w:eastAsia="pl-PL"/>
        </w:rPr>
      </w:pPr>
    </w:p>
    <w:p w14:paraId="15E45BB4" w14:textId="77777777" w:rsidR="007D4B2D" w:rsidRPr="00CA3B00" w:rsidRDefault="007D4B2D">
      <w:pPr>
        <w:rPr>
          <w:rFonts w:ascii="Times New Roman" w:hAnsi="Times New Roman" w:cs="Times New Roman"/>
          <w:sz w:val="24"/>
          <w:szCs w:val="24"/>
        </w:rPr>
      </w:pPr>
    </w:p>
    <w:sectPr w:rsidR="007D4B2D" w:rsidRPr="00CA3B00" w:rsidSect="00735AAD">
      <w:footerReference w:type="default" r:id="rId8"/>
      <w:headerReference w:type="first" r:id="rId9"/>
      <w:footerReference w:type="first" r:id="rId10"/>
      <w:pgSz w:w="11906" w:h="16838" w:code="9"/>
      <w:pgMar w:top="1418" w:right="1418" w:bottom="1418" w:left="1418" w:header="709" w:footer="709"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2311B8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AD14944" w16cex:dateUtc="2026-02-11T07: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2311B8C" w16cid:durableId="0AD1494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728C8A" w14:textId="77777777" w:rsidR="0070588B" w:rsidRDefault="0070588B" w:rsidP="00CA3B00">
      <w:pPr>
        <w:spacing w:after="0" w:line="240" w:lineRule="auto"/>
      </w:pPr>
      <w:r>
        <w:separator/>
      </w:r>
    </w:p>
  </w:endnote>
  <w:endnote w:type="continuationSeparator" w:id="0">
    <w:p w14:paraId="6AD1540B" w14:textId="77777777" w:rsidR="0070588B" w:rsidRDefault="0070588B" w:rsidP="00CA3B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ofia Pro">
    <w:altName w:val="Calibri"/>
    <w:panose1 w:val="00000000000000000000"/>
    <w:charset w:val="00"/>
    <w:family w:val="swiss"/>
    <w:notTrueType/>
    <w:pitch w:val="variable"/>
    <w:sig w:usb0="A000022F" w:usb1="5000004B" w:usb2="00000000" w:usb3="00000000" w:csb0="00000097"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2034824"/>
      <w:docPartObj>
        <w:docPartGallery w:val="Page Numbers (Bottom of Page)"/>
        <w:docPartUnique/>
      </w:docPartObj>
    </w:sdtPr>
    <w:sdtEndPr/>
    <w:sdtContent>
      <w:p w14:paraId="5F8E6D5F" w14:textId="50F3E999" w:rsidR="00735AAD" w:rsidRDefault="00735AAD">
        <w:pPr>
          <w:pStyle w:val="Stopka"/>
          <w:jc w:val="right"/>
        </w:pPr>
        <w:r>
          <w:fldChar w:fldCharType="begin"/>
        </w:r>
        <w:r>
          <w:instrText>PAGE   \* MERGEFORMAT</w:instrText>
        </w:r>
        <w:r>
          <w:fldChar w:fldCharType="separate"/>
        </w:r>
        <w:r w:rsidR="007E4232">
          <w:rPr>
            <w:noProof/>
          </w:rPr>
          <w:t>6</w:t>
        </w:r>
        <w:r>
          <w:fldChar w:fldCharType="end"/>
        </w:r>
      </w:p>
    </w:sdtContent>
  </w:sdt>
  <w:p w14:paraId="7606BF62" w14:textId="77777777" w:rsidR="00735AAD" w:rsidRPr="00120C39" w:rsidRDefault="00735AAD" w:rsidP="00735AAD">
    <w:pPr>
      <w:pStyle w:val="Stopka"/>
    </w:pPr>
    <w:r>
      <w:t>Formularz ofertowy do SWZ  ZP-261-106/2025</w:t>
    </w:r>
    <w:r w:rsidRPr="00F641D8">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0470475"/>
      <w:docPartObj>
        <w:docPartGallery w:val="Page Numbers (Bottom of Page)"/>
        <w:docPartUnique/>
      </w:docPartObj>
    </w:sdtPr>
    <w:sdtEndPr/>
    <w:sdtContent>
      <w:p w14:paraId="3F0D9603" w14:textId="24A00A73" w:rsidR="00735AAD" w:rsidRDefault="00735AAD" w:rsidP="00735AAD">
        <w:pPr>
          <w:pStyle w:val="Stopka"/>
          <w:jc w:val="right"/>
        </w:pPr>
        <w:r>
          <w:fldChar w:fldCharType="begin"/>
        </w:r>
        <w:r>
          <w:instrText>PAGE   \* MERGEFORMAT</w:instrText>
        </w:r>
        <w:r>
          <w:fldChar w:fldCharType="separate"/>
        </w:r>
        <w:r w:rsidR="007E4232">
          <w:rPr>
            <w:noProof/>
          </w:rPr>
          <w:t>1</w:t>
        </w:r>
        <w:r>
          <w:fldChar w:fldCharType="end"/>
        </w:r>
      </w:p>
    </w:sdtContent>
  </w:sdt>
  <w:p w14:paraId="0740BB33" w14:textId="77777777" w:rsidR="00735AAD" w:rsidRDefault="00735AAD" w:rsidP="00735AAD">
    <w:pPr>
      <w:pStyle w:val="Stopka"/>
    </w:pPr>
    <w:r>
      <w:t>Formularz ofertowy do SWZ ZP-261-106/2025</w:t>
    </w:r>
  </w:p>
  <w:p w14:paraId="595A394A" w14:textId="77777777" w:rsidR="00735AAD" w:rsidRPr="00CA3B00" w:rsidRDefault="00735AAD" w:rsidP="00CA3B00">
    <w:pPr>
      <w:spacing w:after="0" w:line="240" w:lineRule="auto"/>
      <w:jc w:val="both"/>
      <w:rPr>
        <w:rFonts w:ascii="Times New Roman" w:hAnsi="Times New Roman" w:cs="Times New Roman"/>
        <w:i/>
        <w:color w:val="0000FF"/>
        <w:sz w:val="16"/>
        <w:szCs w:val="16"/>
      </w:rPr>
    </w:pPr>
    <w:r w:rsidRPr="00CA3B00">
      <w:rPr>
        <w:rFonts w:ascii="Times New Roman" w:hAnsi="Times New Roman" w:cs="Times New Roman"/>
        <w:i/>
        <w:color w:val="0000FF"/>
        <w:sz w:val="16"/>
        <w:szCs w:val="16"/>
      </w:rPr>
      <w:t>Przedmiot zamówienia finansowany będzie w ramach:</w:t>
    </w:r>
  </w:p>
  <w:p w14:paraId="7554BAB3" w14:textId="77777777" w:rsidR="00735AAD" w:rsidRPr="00CA3B00" w:rsidRDefault="00735AAD" w:rsidP="00CA3B00">
    <w:pPr>
      <w:spacing w:after="0" w:line="240" w:lineRule="auto"/>
      <w:jc w:val="both"/>
      <w:rPr>
        <w:rFonts w:ascii="Times New Roman" w:hAnsi="Times New Roman" w:cs="Times New Roman"/>
        <w:i/>
        <w:color w:val="0000FF"/>
        <w:sz w:val="16"/>
        <w:szCs w:val="16"/>
      </w:rPr>
    </w:pPr>
    <w:r w:rsidRPr="00CA3B00">
      <w:rPr>
        <w:rFonts w:ascii="Times New Roman" w:hAnsi="Times New Roman" w:cs="Times New Roman"/>
        <w:i/>
        <w:color w:val="0000FF"/>
        <w:sz w:val="16"/>
        <w:szCs w:val="16"/>
      </w:rPr>
      <w:t xml:space="preserve">Europejskiego  Instrumentu  na rzecz Odbudowy i Zwiększania Odporności (Krajowy Plan Odbudowy i Zwiększania Odporności - KPO) - D1.1.2 Przyspieszenie procesów transformacji cyfrowej ochrony zdrowia poprzez dalszy rozwój usług cyfrowych w ochronie zdrowia   </w:t>
    </w:r>
  </w:p>
  <w:p w14:paraId="4E8B57AB" w14:textId="77777777" w:rsidR="00735AAD" w:rsidRDefault="00735AAD" w:rsidP="00735AAD">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D98203" w14:textId="77777777" w:rsidR="0070588B" w:rsidRDefault="0070588B" w:rsidP="00CA3B00">
      <w:pPr>
        <w:spacing w:after="0" w:line="240" w:lineRule="auto"/>
      </w:pPr>
      <w:r>
        <w:separator/>
      </w:r>
    </w:p>
  </w:footnote>
  <w:footnote w:type="continuationSeparator" w:id="0">
    <w:p w14:paraId="6787BE40" w14:textId="77777777" w:rsidR="0070588B" w:rsidRDefault="0070588B" w:rsidP="00CA3B00">
      <w:pPr>
        <w:spacing w:after="0" w:line="240" w:lineRule="auto"/>
      </w:pPr>
      <w:r>
        <w:continuationSeparator/>
      </w:r>
    </w:p>
  </w:footnote>
  <w:footnote w:id="1">
    <w:p w14:paraId="18CE614D" w14:textId="77777777" w:rsidR="00735AAD" w:rsidRDefault="00735AAD" w:rsidP="00CA3B00">
      <w:pPr>
        <w:pStyle w:val="Tekstprzypisudolnego"/>
        <w:ind w:left="142" w:hanging="142"/>
        <w:jc w:val="both"/>
        <w:rPr>
          <w:sz w:val="18"/>
          <w:szCs w:val="18"/>
        </w:rPr>
      </w:pPr>
      <w:r>
        <w:rPr>
          <w:rStyle w:val="Znakiprzypiswdolnych"/>
          <w:rFonts w:eastAsiaTheme="minorEastAsia"/>
          <w:sz w:val="18"/>
          <w:szCs w:val="18"/>
        </w:rPr>
        <w:footnoteRef/>
      </w:r>
      <w:r>
        <w:rPr>
          <w:sz w:val="18"/>
          <w:szCs w:val="18"/>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4077907A" w14:textId="77777777" w:rsidR="00735AAD" w:rsidRDefault="00735AAD" w:rsidP="00CA3B00">
      <w:pPr>
        <w:pStyle w:val="Tekstprzypisudolnego"/>
        <w:ind w:left="142" w:hanging="142"/>
        <w:jc w:val="both"/>
        <w:rPr>
          <w:sz w:val="18"/>
          <w:szCs w:val="18"/>
        </w:rPr>
      </w:pPr>
    </w:p>
  </w:footnote>
  <w:footnote w:id="2">
    <w:p w14:paraId="45EE796D" w14:textId="77777777" w:rsidR="00735AAD" w:rsidRPr="009F5974" w:rsidRDefault="00735AAD" w:rsidP="00CA3B00">
      <w:pPr>
        <w:pStyle w:val="NormalnyWeb"/>
        <w:spacing w:after="0" w:line="240" w:lineRule="auto"/>
        <w:ind w:left="142" w:hanging="142"/>
        <w:jc w:val="both"/>
        <w:rPr>
          <w:sz w:val="18"/>
          <w:szCs w:val="18"/>
        </w:rPr>
      </w:pPr>
      <w:r>
        <w:rPr>
          <w:rStyle w:val="Znakiprzypiswdolnych"/>
          <w:sz w:val="18"/>
          <w:szCs w:val="18"/>
        </w:rPr>
        <w:footnoteRef/>
      </w:r>
      <w:r>
        <w:rPr>
          <w:rStyle w:val="Znakiprzypiswdolnych"/>
          <w:sz w:val="18"/>
          <w:szCs w:val="18"/>
        </w:rPr>
        <w:tab/>
      </w:r>
      <w:r>
        <w:rPr>
          <w:color w:val="000000"/>
          <w:sz w:val="18"/>
          <w:szCs w:val="18"/>
        </w:rPr>
        <w:t xml:space="preserve">W przypadku gdy wykonawca </w:t>
      </w:r>
      <w:r>
        <w:rPr>
          <w:sz w:val="18"/>
          <w:szCs w:val="18"/>
        </w:rPr>
        <w:t>nie przekazuje danych osobowych innych niż bezpośrednio jego dotyczących lub zachodzi wyłączenie stosowania obowiązku informacyjnego, stosownie do art. 13 ust. 4 lub art. 14 ust. 5 RODO treści oświadczenia wykonawca nie składa (należy usunąć treść oświadczenia np. przez jego wykreślenie).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8C3124" w14:textId="77777777" w:rsidR="00735AAD" w:rsidRDefault="00735AAD">
    <w:pPr>
      <w:pStyle w:val="Nagwek"/>
    </w:pPr>
    <w:r w:rsidRPr="00514F10">
      <w:rPr>
        <w:noProof/>
        <w:lang w:eastAsia="pl-PL"/>
      </w:rPr>
      <w:drawing>
        <wp:inline distT="0" distB="0" distL="0" distR="0" wp14:anchorId="01356CD6" wp14:editId="799D0B7B">
          <wp:extent cx="5759450" cy="723106"/>
          <wp:effectExtent l="0" t="0" r="0" b="127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723106"/>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7D53"/>
    <w:multiLevelType w:val="hybridMultilevel"/>
    <w:tmpl w:val="36362A7A"/>
    <w:lvl w:ilvl="0" w:tplc="81981274">
      <w:start w:val="1"/>
      <w:numFmt w:val="bullet"/>
      <w:lvlText w:val="-"/>
      <w:lvlJc w:val="left"/>
      <w:pPr>
        <w:ind w:left="720" w:hanging="360"/>
      </w:pPr>
      <w:rPr>
        <w:rFonts w:ascii="Verdana" w:hAnsi="Verdana"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06941F06"/>
    <w:multiLevelType w:val="hybridMultilevel"/>
    <w:tmpl w:val="8918DA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nsid w:val="0B347AFF"/>
    <w:multiLevelType w:val="hybridMultilevel"/>
    <w:tmpl w:val="7B7EFFB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112A3589"/>
    <w:multiLevelType w:val="hybridMultilevel"/>
    <w:tmpl w:val="7B7EFFB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nsid w:val="11337FDE"/>
    <w:multiLevelType w:val="hybridMultilevel"/>
    <w:tmpl w:val="43AA5B9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nsid w:val="11406539"/>
    <w:multiLevelType w:val="hybridMultilevel"/>
    <w:tmpl w:val="F452AC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4362DF"/>
    <w:multiLevelType w:val="hybridMultilevel"/>
    <w:tmpl w:val="80F24AF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
    <w:nsid w:val="1DCA786D"/>
    <w:multiLevelType w:val="hybridMultilevel"/>
    <w:tmpl w:val="944A826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26B22292"/>
    <w:multiLevelType w:val="hybridMultilevel"/>
    <w:tmpl w:val="0992968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
    <w:nsid w:val="27E66C34"/>
    <w:multiLevelType w:val="hybridMultilevel"/>
    <w:tmpl w:val="944A826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29222A0A"/>
    <w:multiLevelType w:val="hybridMultilevel"/>
    <w:tmpl w:val="A0A0A98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nsid w:val="31A94EFB"/>
    <w:multiLevelType w:val="hybridMultilevel"/>
    <w:tmpl w:val="7B7EFFB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nsid w:val="36CF69CF"/>
    <w:multiLevelType w:val="hybridMultilevel"/>
    <w:tmpl w:val="D93C587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423E1730"/>
    <w:multiLevelType w:val="hybridMultilevel"/>
    <w:tmpl w:val="7B7EFFB8"/>
    <w:lvl w:ilvl="0" w:tplc="FFFFFFFF">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476415E6"/>
    <w:multiLevelType w:val="hybridMultilevel"/>
    <w:tmpl w:val="4000C9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nsid w:val="47D04B38"/>
    <w:multiLevelType w:val="hybridMultilevel"/>
    <w:tmpl w:val="221871E4"/>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BACEFF18">
      <w:start w:val="1"/>
      <w:numFmt w:val="decimal"/>
      <w:lvlText w:val="%4."/>
      <w:lvlJc w:val="left"/>
      <w:pPr>
        <w:ind w:left="3600" w:hanging="360"/>
      </w:pPr>
      <w:rPr>
        <w:b w:val="0"/>
        <w:i w:val="0"/>
        <w:color w:val="auto"/>
        <w:sz w:val="24"/>
        <w:szCs w:val="24"/>
      </w:r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6">
    <w:nsid w:val="4CC432B2"/>
    <w:multiLevelType w:val="hybridMultilevel"/>
    <w:tmpl w:val="C526B3FC"/>
    <w:lvl w:ilvl="0" w:tplc="2F961DDC">
      <w:numFmt w:val="bullet"/>
      <w:lvlText w:val=""/>
      <w:lvlJc w:val="left"/>
      <w:pPr>
        <w:ind w:left="720" w:hanging="360"/>
      </w:pPr>
      <w:rPr>
        <w:rFonts w:ascii="Symbol" w:eastAsia="Calibri" w:hAnsi="Symbol" w:cs="Times New Roman" w:hint="default"/>
        <w:b/>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55962997"/>
    <w:multiLevelType w:val="hybridMultilevel"/>
    <w:tmpl w:val="45343C2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nsid w:val="5C7D7F09"/>
    <w:multiLevelType w:val="hybridMultilevel"/>
    <w:tmpl w:val="A0A0A98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64E337D3"/>
    <w:multiLevelType w:val="hybridMultilevel"/>
    <w:tmpl w:val="537AE44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nsid w:val="66D84048"/>
    <w:multiLevelType w:val="hybridMultilevel"/>
    <w:tmpl w:val="7CC8645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nsid w:val="6A272AAA"/>
    <w:multiLevelType w:val="hybridMultilevel"/>
    <w:tmpl w:val="B1243DB4"/>
    <w:lvl w:ilvl="0" w:tplc="066EF190">
      <w:numFmt w:val="bullet"/>
      <w:lvlText w:val="-"/>
      <w:lvlJc w:val="left"/>
      <w:pPr>
        <w:ind w:left="720" w:hanging="360"/>
      </w:pPr>
      <w:rPr>
        <w:rFonts w:ascii="Calibri" w:eastAsia="Calibri" w:hAnsi="Calibri" w:cs="Calibri"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nsid w:val="6B6008B5"/>
    <w:multiLevelType w:val="hybridMultilevel"/>
    <w:tmpl w:val="572A56D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6C6B25A8"/>
    <w:multiLevelType w:val="hybridMultilevel"/>
    <w:tmpl w:val="7B7EFFB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nsid w:val="6D505F93"/>
    <w:multiLevelType w:val="hybridMultilevel"/>
    <w:tmpl w:val="71DCA7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nsid w:val="73805389"/>
    <w:multiLevelType w:val="hybridMultilevel"/>
    <w:tmpl w:val="7B7EFFB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5"/>
  </w:num>
  <w:num w:numId="2">
    <w:abstractNumId w:val="15"/>
  </w:num>
  <w:num w:numId="3">
    <w:abstractNumId w:val="8"/>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14"/>
  </w:num>
  <w:num w:numId="7">
    <w:abstractNumId w:val="4"/>
  </w:num>
  <w:num w:numId="8">
    <w:abstractNumId w:val="24"/>
  </w:num>
  <w:num w:numId="9">
    <w:abstractNumId w:val="1"/>
  </w:num>
  <w:num w:numId="10">
    <w:abstractNumId w:val="21"/>
  </w:num>
  <w:num w:numId="11">
    <w:abstractNumId w:val="20"/>
  </w:num>
  <w:num w:numId="12">
    <w:abstractNumId w:val="18"/>
  </w:num>
  <w:num w:numId="13">
    <w:abstractNumId w:val="0"/>
  </w:num>
  <w:num w:numId="14">
    <w:abstractNumId w:val="10"/>
  </w:num>
  <w:num w:numId="15">
    <w:abstractNumId w:val="22"/>
  </w:num>
  <w:num w:numId="16">
    <w:abstractNumId w:val="13"/>
  </w:num>
  <w:num w:numId="17">
    <w:abstractNumId w:val="23"/>
  </w:num>
  <w:num w:numId="18">
    <w:abstractNumId w:val="11"/>
  </w:num>
  <w:num w:numId="19">
    <w:abstractNumId w:val="25"/>
  </w:num>
  <w:num w:numId="20">
    <w:abstractNumId w:val="2"/>
  </w:num>
  <w:num w:numId="21">
    <w:abstractNumId w:val="3"/>
  </w:num>
  <w:num w:numId="22">
    <w:abstractNumId w:val="5"/>
  </w:num>
  <w:num w:numId="23">
    <w:abstractNumId w:val="19"/>
  </w:num>
  <w:num w:numId="24">
    <w:abstractNumId w:val="7"/>
  </w:num>
  <w:num w:numId="25">
    <w:abstractNumId w:val="9"/>
  </w:num>
  <w:num w:numId="26">
    <w:abstractNumId w:val="16"/>
  </w:num>
  <w:num w:numId="27">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Waldemar Slendak">
    <w15:presenceInfo w15:providerId="Windows Live" w15:userId="1623b217fe60c4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3B00"/>
    <w:rsid w:val="000028D3"/>
    <w:rsid w:val="00003C49"/>
    <w:rsid w:val="00076442"/>
    <w:rsid w:val="000C48F5"/>
    <w:rsid w:val="00174937"/>
    <w:rsid w:val="004133C2"/>
    <w:rsid w:val="005341A6"/>
    <w:rsid w:val="006C5EAD"/>
    <w:rsid w:val="0070588B"/>
    <w:rsid w:val="00735AAD"/>
    <w:rsid w:val="007D4B2D"/>
    <w:rsid w:val="007E4232"/>
    <w:rsid w:val="0098283A"/>
    <w:rsid w:val="00AE5011"/>
    <w:rsid w:val="00C21C47"/>
    <w:rsid w:val="00CA3B00"/>
    <w:rsid w:val="00D81A3E"/>
    <w:rsid w:val="00DB13C8"/>
    <w:rsid w:val="00DB79F9"/>
    <w:rsid w:val="00EC04BC"/>
    <w:rsid w:val="00F90D4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AE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unhideWhenUsed/>
    <w:rsid w:val="00CA3B00"/>
    <w:rPr>
      <w:rFonts w:ascii="Times New Roman" w:eastAsiaTheme="minorEastAsia"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CA3B00"/>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uiPriority w:val="99"/>
    <w:semiHidden/>
    <w:rsid w:val="00CA3B00"/>
    <w:rPr>
      <w:rFonts w:ascii="Times New Roman" w:eastAsia="Times New Roman" w:hAnsi="Times New Roman" w:cs="Times New Roman"/>
      <w:sz w:val="20"/>
      <w:szCs w:val="20"/>
      <w:lang w:eastAsia="pl-PL"/>
    </w:rPr>
  </w:style>
  <w:style w:type="character" w:customStyle="1" w:styleId="Znakiprzypiswdolnych">
    <w:name w:val="Znaki przypisów dolnych"/>
    <w:qFormat/>
    <w:rsid w:val="00CA3B00"/>
  </w:style>
  <w:style w:type="paragraph" w:styleId="Stopka">
    <w:name w:val="footer"/>
    <w:basedOn w:val="Normalny"/>
    <w:link w:val="StopkaZnak"/>
    <w:uiPriority w:val="99"/>
    <w:unhideWhenUsed/>
    <w:rsid w:val="00CA3B00"/>
    <w:pPr>
      <w:tabs>
        <w:tab w:val="center" w:pos="4536"/>
        <w:tab w:val="right" w:pos="9072"/>
      </w:tabs>
      <w:spacing w:after="0" w:line="240" w:lineRule="auto"/>
    </w:pPr>
    <w:rPr>
      <w:rFonts w:eastAsiaTheme="minorEastAsia"/>
      <w:lang w:eastAsia="pl-PL"/>
    </w:rPr>
  </w:style>
  <w:style w:type="character" w:customStyle="1" w:styleId="StopkaZnak">
    <w:name w:val="Stopka Znak"/>
    <w:basedOn w:val="Domylnaczcionkaakapitu"/>
    <w:link w:val="Stopka"/>
    <w:uiPriority w:val="99"/>
    <w:rsid w:val="00CA3B00"/>
    <w:rPr>
      <w:rFonts w:eastAsiaTheme="minorEastAsia"/>
      <w:lang w:eastAsia="pl-PL"/>
    </w:rPr>
  </w:style>
  <w:style w:type="paragraph" w:styleId="Nagwek">
    <w:name w:val="header"/>
    <w:basedOn w:val="Normalny"/>
    <w:link w:val="NagwekZnak"/>
    <w:uiPriority w:val="99"/>
    <w:unhideWhenUsed/>
    <w:rsid w:val="00CA3B0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A3B00"/>
  </w:style>
  <w:style w:type="paragraph" w:styleId="Tekstdymka">
    <w:name w:val="Balloon Text"/>
    <w:basedOn w:val="Normalny"/>
    <w:link w:val="TekstdymkaZnak"/>
    <w:uiPriority w:val="99"/>
    <w:semiHidden/>
    <w:unhideWhenUsed/>
    <w:rsid w:val="00CA3B00"/>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CA3B00"/>
    <w:rPr>
      <w:rFonts w:ascii="Tahoma" w:hAnsi="Tahoma" w:cs="Tahoma"/>
      <w:sz w:val="16"/>
      <w:szCs w:val="16"/>
    </w:rPr>
  </w:style>
  <w:style w:type="paragraph" w:styleId="Bezodstpw">
    <w:name w:val="No Spacing"/>
    <w:uiPriority w:val="1"/>
    <w:qFormat/>
    <w:rsid w:val="00CA3B00"/>
    <w:pPr>
      <w:spacing w:after="0" w:line="240" w:lineRule="auto"/>
    </w:pPr>
  </w:style>
  <w:style w:type="paragraph" w:customStyle="1" w:styleId="IPNormalnySofiaPro">
    <w:name w:val="IP_Normalny Sofia Pro"/>
    <w:basedOn w:val="Normalny"/>
    <w:qFormat/>
    <w:rsid w:val="00CA3B00"/>
    <w:pPr>
      <w:spacing w:before="200" w:after="0" w:line="360" w:lineRule="auto"/>
      <w:jc w:val="both"/>
    </w:pPr>
    <w:rPr>
      <w:rFonts w:ascii="Sofia Pro" w:eastAsia="Times New Roman" w:hAnsi="Sofia Pro" w:cs="Times New Roman"/>
      <w:color w:val="2C3A53"/>
    </w:rPr>
  </w:style>
  <w:style w:type="paragraph" w:styleId="Akapitzlist">
    <w:name w:val="List Paragraph"/>
    <w:aliases w:val="Numerowanie,Akapit z listą BS,Kolorowa lista — akcent 11,sw tekst,L1,Bulleted list,lp1,Preambuła,Colorful Shading - Accent 31,Light List - Accent 51,Akapit z listą5,Odstavec,Podsis rysunku,ISCG Numerowanie,Akapit z listą1,Bullet List,列出段落"/>
    <w:basedOn w:val="Normalny"/>
    <w:link w:val="AkapitzlistZnak"/>
    <w:uiPriority w:val="34"/>
    <w:qFormat/>
    <w:rsid w:val="00CA3B00"/>
    <w:pPr>
      <w:ind w:left="720"/>
      <w:contextualSpacing/>
    </w:pPr>
    <w:rPr>
      <w:rFonts w:eastAsiaTheme="minorEastAsia"/>
    </w:rPr>
  </w:style>
  <w:style w:type="character" w:customStyle="1" w:styleId="AkapitzlistZnak">
    <w:name w:val="Akapit z listą Znak"/>
    <w:aliases w:val="Numerowanie Znak,Akapit z listą BS Znak,Kolorowa lista — akcent 11 Znak,sw tekst Znak,L1 Znak,Bulleted list Znak,lp1 Znak,Preambuła Znak,Colorful Shading - Accent 31 Znak,Light List - Accent 51 Znak,Akapit z listą5 Znak,Odstavec Znak"/>
    <w:link w:val="Akapitzlist"/>
    <w:uiPriority w:val="34"/>
    <w:qFormat/>
    <w:locked/>
    <w:rsid w:val="00CA3B00"/>
    <w:rPr>
      <w:rFonts w:eastAsiaTheme="minorEastAsia"/>
    </w:rPr>
  </w:style>
  <w:style w:type="paragraph" w:styleId="Poprawka">
    <w:name w:val="Revision"/>
    <w:hidden/>
    <w:uiPriority w:val="99"/>
    <w:semiHidden/>
    <w:rsid w:val="00CA3B00"/>
    <w:pPr>
      <w:spacing w:after="0" w:line="240" w:lineRule="auto"/>
    </w:pPr>
  </w:style>
  <w:style w:type="character" w:styleId="Odwoaniedokomentarza">
    <w:name w:val="annotation reference"/>
    <w:basedOn w:val="Domylnaczcionkaakapitu"/>
    <w:uiPriority w:val="99"/>
    <w:semiHidden/>
    <w:unhideWhenUsed/>
    <w:rsid w:val="00CA3B00"/>
    <w:rPr>
      <w:sz w:val="16"/>
      <w:szCs w:val="16"/>
    </w:rPr>
  </w:style>
  <w:style w:type="paragraph" w:styleId="Tekstkomentarza">
    <w:name w:val="annotation text"/>
    <w:basedOn w:val="Normalny"/>
    <w:link w:val="TekstkomentarzaZnak"/>
    <w:uiPriority w:val="99"/>
    <w:unhideWhenUsed/>
    <w:rsid w:val="00CA3B00"/>
    <w:pPr>
      <w:spacing w:line="240" w:lineRule="auto"/>
    </w:pPr>
    <w:rPr>
      <w:sz w:val="20"/>
      <w:szCs w:val="20"/>
    </w:rPr>
  </w:style>
  <w:style w:type="character" w:customStyle="1" w:styleId="TekstkomentarzaZnak">
    <w:name w:val="Tekst komentarza Znak"/>
    <w:basedOn w:val="Domylnaczcionkaakapitu"/>
    <w:link w:val="Tekstkomentarza"/>
    <w:uiPriority w:val="99"/>
    <w:rsid w:val="00CA3B00"/>
    <w:rPr>
      <w:sz w:val="20"/>
      <w:szCs w:val="20"/>
    </w:rPr>
  </w:style>
  <w:style w:type="paragraph" w:styleId="Tematkomentarza">
    <w:name w:val="annotation subject"/>
    <w:basedOn w:val="Tekstkomentarza"/>
    <w:next w:val="Tekstkomentarza"/>
    <w:link w:val="TematkomentarzaZnak"/>
    <w:uiPriority w:val="99"/>
    <w:semiHidden/>
    <w:unhideWhenUsed/>
    <w:rsid w:val="00CA3B00"/>
    <w:rPr>
      <w:b/>
      <w:bCs/>
    </w:rPr>
  </w:style>
  <w:style w:type="character" w:customStyle="1" w:styleId="TematkomentarzaZnak">
    <w:name w:val="Temat komentarza Znak"/>
    <w:basedOn w:val="TekstkomentarzaZnak"/>
    <w:link w:val="Tematkomentarza"/>
    <w:uiPriority w:val="99"/>
    <w:semiHidden/>
    <w:rsid w:val="00CA3B00"/>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unhideWhenUsed/>
    <w:rsid w:val="00CA3B00"/>
    <w:rPr>
      <w:rFonts w:ascii="Times New Roman" w:eastAsiaTheme="minorEastAsia"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CA3B00"/>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uiPriority w:val="99"/>
    <w:semiHidden/>
    <w:rsid w:val="00CA3B00"/>
    <w:rPr>
      <w:rFonts w:ascii="Times New Roman" w:eastAsia="Times New Roman" w:hAnsi="Times New Roman" w:cs="Times New Roman"/>
      <w:sz w:val="20"/>
      <w:szCs w:val="20"/>
      <w:lang w:eastAsia="pl-PL"/>
    </w:rPr>
  </w:style>
  <w:style w:type="character" w:customStyle="1" w:styleId="Znakiprzypiswdolnych">
    <w:name w:val="Znaki przypisów dolnych"/>
    <w:qFormat/>
    <w:rsid w:val="00CA3B00"/>
  </w:style>
  <w:style w:type="paragraph" w:styleId="Stopka">
    <w:name w:val="footer"/>
    <w:basedOn w:val="Normalny"/>
    <w:link w:val="StopkaZnak"/>
    <w:uiPriority w:val="99"/>
    <w:unhideWhenUsed/>
    <w:rsid w:val="00CA3B00"/>
    <w:pPr>
      <w:tabs>
        <w:tab w:val="center" w:pos="4536"/>
        <w:tab w:val="right" w:pos="9072"/>
      </w:tabs>
      <w:spacing w:after="0" w:line="240" w:lineRule="auto"/>
    </w:pPr>
    <w:rPr>
      <w:rFonts w:eastAsiaTheme="minorEastAsia"/>
      <w:lang w:eastAsia="pl-PL"/>
    </w:rPr>
  </w:style>
  <w:style w:type="character" w:customStyle="1" w:styleId="StopkaZnak">
    <w:name w:val="Stopka Znak"/>
    <w:basedOn w:val="Domylnaczcionkaakapitu"/>
    <w:link w:val="Stopka"/>
    <w:uiPriority w:val="99"/>
    <w:rsid w:val="00CA3B00"/>
    <w:rPr>
      <w:rFonts w:eastAsiaTheme="minorEastAsia"/>
      <w:lang w:eastAsia="pl-PL"/>
    </w:rPr>
  </w:style>
  <w:style w:type="paragraph" w:styleId="Nagwek">
    <w:name w:val="header"/>
    <w:basedOn w:val="Normalny"/>
    <w:link w:val="NagwekZnak"/>
    <w:uiPriority w:val="99"/>
    <w:unhideWhenUsed/>
    <w:rsid w:val="00CA3B0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A3B00"/>
  </w:style>
  <w:style w:type="paragraph" w:styleId="Tekstdymka">
    <w:name w:val="Balloon Text"/>
    <w:basedOn w:val="Normalny"/>
    <w:link w:val="TekstdymkaZnak"/>
    <w:uiPriority w:val="99"/>
    <w:semiHidden/>
    <w:unhideWhenUsed/>
    <w:rsid w:val="00CA3B00"/>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CA3B00"/>
    <w:rPr>
      <w:rFonts w:ascii="Tahoma" w:hAnsi="Tahoma" w:cs="Tahoma"/>
      <w:sz w:val="16"/>
      <w:szCs w:val="16"/>
    </w:rPr>
  </w:style>
  <w:style w:type="paragraph" w:styleId="Bezodstpw">
    <w:name w:val="No Spacing"/>
    <w:uiPriority w:val="1"/>
    <w:qFormat/>
    <w:rsid w:val="00CA3B00"/>
    <w:pPr>
      <w:spacing w:after="0" w:line="240" w:lineRule="auto"/>
    </w:pPr>
  </w:style>
  <w:style w:type="paragraph" w:customStyle="1" w:styleId="IPNormalnySofiaPro">
    <w:name w:val="IP_Normalny Sofia Pro"/>
    <w:basedOn w:val="Normalny"/>
    <w:qFormat/>
    <w:rsid w:val="00CA3B00"/>
    <w:pPr>
      <w:spacing w:before="200" w:after="0" w:line="360" w:lineRule="auto"/>
      <w:jc w:val="both"/>
    </w:pPr>
    <w:rPr>
      <w:rFonts w:ascii="Sofia Pro" w:eastAsia="Times New Roman" w:hAnsi="Sofia Pro" w:cs="Times New Roman"/>
      <w:color w:val="2C3A53"/>
    </w:rPr>
  </w:style>
  <w:style w:type="paragraph" w:styleId="Akapitzlist">
    <w:name w:val="List Paragraph"/>
    <w:aliases w:val="Numerowanie,Akapit z listą BS,Kolorowa lista — akcent 11,sw tekst,L1,Bulleted list,lp1,Preambuła,Colorful Shading - Accent 31,Light List - Accent 51,Akapit z listą5,Odstavec,Podsis rysunku,ISCG Numerowanie,Akapit z listą1,Bullet List,列出段落"/>
    <w:basedOn w:val="Normalny"/>
    <w:link w:val="AkapitzlistZnak"/>
    <w:uiPriority w:val="34"/>
    <w:qFormat/>
    <w:rsid w:val="00CA3B00"/>
    <w:pPr>
      <w:ind w:left="720"/>
      <w:contextualSpacing/>
    </w:pPr>
    <w:rPr>
      <w:rFonts w:eastAsiaTheme="minorEastAsia"/>
    </w:rPr>
  </w:style>
  <w:style w:type="character" w:customStyle="1" w:styleId="AkapitzlistZnak">
    <w:name w:val="Akapit z listą Znak"/>
    <w:aliases w:val="Numerowanie Znak,Akapit z listą BS Znak,Kolorowa lista — akcent 11 Znak,sw tekst Znak,L1 Znak,Bulleted list Znak,lp1 Znak,Preambuła Znak,Colorful Shading - Accent 31 Znak,Light List - Accent 51 Znak,Akapit z listą5 Znak,Odstavec Znak"/>
    <w:link w:val="Akapitzlist"/>
    <w:uiPriority w:val="34"/>
    <w:qFormat/>
    <w:locked/>
    <w:rsid w:val="00CA3B00"/>
    <w:rPr>
      <w:rFonts w:eastAsiaTheme="minorEastAsia"/>
    </w:rPr>
  </w:style>
  <w:style w:type="paragraph" w:styleId="Poprawka">
    <w:name w:val="Revision"/>
    <w:hidden/>
    <w:uiPriority w:val="99"/>
    <w:semiHidden/>
    <w:rsid w:val="00CA3B00"/>
    <w:pPr>
      <w:spacing w:after="0" w:line="240" w:lineRule="auto"/>
    </w:pPr>
  </w:style>
  <w:style w:type="character" w:styleId="Odwoaniedokomentarza">
    <w:name w:val="annotation reference"/>
    <w:basedOn w:val="Domylnaczcionkaakapitu"/>
    <w:uiPriority w:val="99"/>
    <w:semiHidden/>
    <w:unhideWhenUsed/>
    <w:rsid w:val="00CA3B00"/>
    <w:rPr>
      <w:sz w:val="16"/>
      <w:szCs w:val="16"/>
    </w:rPr>
  </w:style>
  <w:style w:type="paragraph" w:styleId="Tekstkomentarza">
    <w:name w:val="annotation text"/>
    <w:basedOn w:val="Normalny"/>
    <w:link w:val="TekstkomentarzaZnak"/>
    <w:uiPriority w:val="99"/>
    <w:unhideWhenUsed/>
    <w:rsid w:val="00CA3B00"/>
    <w:pPr>
      <w:spacing w:line="240" w:lineRule="auto"/>
    </w:pPr>
    <w:rPr>
      <w:sz w:val="20"/>
      <w:szCs w:val="20"/>
    </w:rPr>
  </w:style>
  <w:style w:type="character" w:customStyle="1" w:styleId="TekstkomentarzaZnak">
    <w:name w:val="Tekst komentarza Znak"/>
    <w:basedOn w:val="Domylnaczcionkaakapitu"/>
    <w:link w:val="Tekstkomentarza"/>
    <w:uiPriority w:val="99"/>
    <w:rsid w:val="00CA3B00"/>
    <w:rPr>
      <w:sz w:val="20"/>
      <w:szCs w:val="20"/>
    </w:rPr>
  </w:style>
  <w:style w:type="paragraph" w:styleId="Tematkomentarza">
    <w:name w:val="annotation subject"/>
    <w:basedOn w:val="Tekstkomentarza"/>
    <w:next w:val="Tekstkomentarza"/>
    <w:link w:val="TematkomentarzaZnak"/>
    <w:uiPriority w:val="99"/>
    <w:semiHidden/>
    <w:unhideWhenUsed/>
    <w:rsid w:val="00CA3B00"/>
    <w:rPr>
      <w:b/>
      <w:bCs/>
    </w:rPr>
  </w:style>
  <w:style w:type="character" w:customStyle="1" w:styleId="TematkomentarzaZnak">
    <w:name w:val="Temat komentarza Znak"/>
    <w:basedOn w:val="TekstkomentarzaZnak"/>
    <w:link w:val="Tematkomentarza"/>
    <w:uiPriority w:val="99"/>
    <w:semiHidden/>
    <w:rsid w:val="00CA3B0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6/09/relationships/commentsIds" Target="commentsIds.xml"/><Relationship Id="rId2" Type="http://schemas.openxmlformats.org/officeDocument/2006/relationships/styles" Target="styles.xml"/><Relationship Id="rId16" Type="http://schemas.microsoft.com/office/2018/08/relationships/commentsExtensible" Target="commentsExtensi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microsoft.com/office/2011/relationships/commentsExtended" Target="commentsExtended.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11311</Words>
  <Characters>67866</Characters>
  <Application>Microsoft Office Word</Application>
  <DocSecurity>0</DocSecurity>
  <Lines>565</Lines>
  <Paragraphs>158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Małgorzata Stachowiak</dc:creator>
  <cp:lastModifiedBy>Grażyna Tucholska</cp:lastModifiedBy>
  <cp:revision>4</cp:revision>
  <dcterms:created xsi:type="dcterms:W3CDTF">2026-02-16T10:44:00Z</dcterms:created>
  <dcterms:modified xsi:type="dcterms:W3CDTF">2026-02-17T07:57:00Z</dcterms:modified>
</cp:coreProperties>
</file>