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540B" w:rsidRDefault="00D44974">
      <w:pPr>
        <w:pStyle w:val="Tekstpodstawowy"/>
      </w:pPr>
      <w:r>
        <w:rPr>
          <w:noProof/>
          <w:lang w:eastAsia="pl-PL"/>
        </w:rPr>
        <w:drawing>
          <wp:inline distT="0" distB="0" distL="0" distR="0">
            <wp:extent cx="6047105" cy="685800"/>
            <wp:effectExtent l="0" t="0" r="0" b="0"/>
            <wp:docPr id="1" name="Obraz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20" t="-185" r="-20" b="-1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7105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67F89" w:rsidRDefault="00E67F89">
      <w:pPr>
        <w:pStyle w:val="Tekstpodstawowy"/>
        <w:jc w:val="right"/>
      </w:pPr>
    </w:p>
    <w:p w:rsidR="00A7540B" w:rsidRDefault="00D44974">
      <w:pPr>
        <w:pStyle w:val="Tekstpodstawowy"/>
        <w:jc w:val="right"/>
      </w:pPr>
      <w:bookmarkStart w:id="0" w:name="_GoBack"/>
      <w:bookmarkEnd w:id="0"/>
      <w:r>
        <w:t>Załącznik nr 1a do SWZ</w:t>
      </w:r>
    </w:p>
    <w:p w:rsidR="00A7540B" w:rsidRDefault="00D44974">
      <w:pPr>
        <w:pStyle w:val="Tekstpodstawowy"/>
      </w:pPr>
      <w:r>
        <w:t>ZP.271.</w:t>
      </w:r>
      <w:r w:rsidR="00D7212D">
        <w:t>3</w:t>
      </w:r>
      <w:r>
        <w:t>.2026</w:t>
      </w:r>
    </w:p>
    <w:p w:rsidR="00A7540B" w:rsidRDefault="00A7540B">
      <w:pPr>
        <w:pStyle w:val="Tekstpodstawowy"/>
      </w:pPr>
    </w:p>
    <w:p w:rsidR="00A7540B" w:rsidRDefault="00D44974">
      <w:pPr>
        <w:pStyle w:val="Tekstpodstawowy"/>
        <w:jc w:val="both"/>
      </w:pPr>
      <w:r>
        <w:t xml:space="preserve">Szczegółowy opis przedmiotu zamówienia: </w:t>
      </w:r>
      <w:r>
        <w:rPr>
          <w:b/>
        </w:rPr>
        <w:t>Wsparcie podstawowej opieki zdrowotnej (POZ) część 3 zamówienia: dostawa sprzętu medycznego dla Gminnego Centrum Zdrowia w Nowej Męcince</w:t>
      </w:r>
    </w:p>
    <w:p w:rsidR="00891520" w:rsidRDefault="00891520" w:rsidP="00891520">
      <w:pPr>
        <w:pStyle w:val="Tekstpodstawowy"/>
        <w:jc w:val="both"/>
        <w:rPr>
          <w:b/>
        </w:rPr>
      </w:pPr>
    </w:p>
    <w:p w:rsidR="00891520" w:rsidRDefault="00891520" w:rsidP="00891520">
      <w:pPr>
        <w:pStyle w:val="Tekstpodstawowy"/>
        <w:jc w:val="both"/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Przedmiot zamówienia obejmuje dostawę sprzętu medycznego:</w:t>
      </w:r>
    </w:p>
    <w:p w:rsidR="00891520" w:rsidRPr="0021726F" w:rsidRDefault="00891520" w:rsidP="0021726F">
      <w:pPr>
        <w:pStyle w:val="Akapitzlist"/>
        <w:numPr>
          <w:ilvl w:val="0"/>
          <w:numId w:val="6"/>
        </w:numPr>
        <w:tabs>
          <w:tab w:val="left" w:pos="229"/>
        </w:tabs>
        <w:spacing w:line="276" w:lineRule="auto"/>
        <w:jc w:val="both"/>
        <w:rPr>
          <w:b/>
          <w:bCs/>
        </w:rPr>
      </w:pPr>
      <w:r w:rsidRPr="0021726F">
        <w:rPr>
          <w:b/>
          <w:bCs/>
          <w:color w:val="000000"/>
          <w:lang w:bidi="pl-PL"/>
        </w:rPr>
        <w:t>mobilny aparat USG – 1 sztuka, o parametrach:</w:t>
      </w:r>
    </w:p>
    <w:tbl>
      <w:tblPr>
        <w:tblW w:w="8080" w:type="dxa"/>
        <w:jc w:val="right"/>
        <w:tblLayout w:type="fixed"/>
        <w:tblLook w:val="04A0" w:firstRow="1" w:lastRow="0" w:firstColumn="1" w:lastColumn="0" w:noHBand="0" w:noVBand="1"/>
      </w:tblPr>
      <w:tblGrid>
        <w:gridCol w:w="850"/>
        <w:gridCol w:w="7230"/>
      </w:tblGrid>
      <w:tr w:rsidR="004972B2" w:rsidRPr="00C22F3E" w:rsidTr="004972B2">
        <w:trPr>
          <w:trHeight w:val="340"/>
          <w:jc w:val="right"/>
        </w:trPr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Batang" w:hAnsi="Calibri" w:cs="Calibri"/>
                <w:b/>
                <w:color w:val="000000"/>
                <w:sz w:val="20"/>
                <w:szCs w:val="20"/>
                <w:lang w:eastAsia="pl-PL"/>
              </w:rPr>
              <w:t>Parametry Techniczne wymagane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ind w:left="720"/>
              <w:contextualSpacing/>
              <w:rPr>
                <w:rFonts w:ascii="Calibri" w:eastAsia="Arial Narrow" w:hAnsi="Calibri" w:cs="Calibr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b/>
                <w:sz w:val="20"/>
                <w:szCs w:val="20"/>
                <w:lang w:eastAsia="pl-PL"/>
              </w:rPr>
            </w:pPr>
            <w:r w:rsidRPr="00C22F3E">
              <w:rPr>
                <w:rFonts w:ascii="Calibri" w:hAnsi="Calibri" w:cs="Calibri"/>
                <w:b/>
                <w:sz w:val="20"/>
                <w:szCs w:val="20"/>
                <w:lang w:eastAsia="pl-PL"/>
              </w:rPr>
              <w:t>Konstrukcja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Aparat fabrycznie nowy,  nieużywany wcześniej do prezentacji, z bieżącej produkcji, nie </w:t>
            </w:r>
            <w:proofErr w:type="spellStart"/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rekondycjonowany</w:t>
            </w:r>
            <w:proofErr w:type="spellEnd"/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; rok produkcji min. 2025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Przenośny aparat USG z torbą/walizką dedykowaną do transportu, z kolorowym Dopplerem,  o cyfrowym układzie formowania wiązki ultradźwiękowej, o nowoczesnej konstrukcji i ergonomii</w:t>
            </w:r>
          </w:p>
        </w:tc>
      </w:tr>
      <w:tr w:rsidR="004972B2" w:rsidRPr="00C22F3E" w:rsidTr="004972B2">
        <w:trPr>
          <w:trHeight w:val="505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Maksymalna waga jednostki głównej max. 2,1 kg 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Zasilanie sieciowe i bateryjne. Bateria w zestawie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4 porty do podłączenia głowic bez konieczności posiadania stacji dokującej i innych urządzeń preferencyjnych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Dotykowy ekran o wysokiej rozdzielczości, przekątna ekranu min. 14,1 cali, responsywny i płynny w użyciu. Rozdzielczość 1900 x 1080</w:t>
            </w: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Regulacja kąta pochylenia ekranu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Czas włączenia maksymalnie 25 s.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180 min ciągłych badań na wbudowanej baterii zasilającej system.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Aktualizacja systemu jednym wciśnięciem dedykowanej ikony -  pomocne podczas wprowadzania nowych rewizji usprawniających pracę systemu,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Możliwość powiększenia obrazu diagnostycznego do pełnego ekranu,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ind w:left="360"/>
              <w:contextualSpacing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b/>
                <w:sz w:val="20"/>
                <w:szCs w:val="20"/>
                <w:lang w:eastAsia="pl-PL"/>
              </w:rPr>
            </w:pPr>
            <w:r w:rsidRPr="00C22F3E">
              <w:rPr>
                <w:rFonts w:ascii="Calibri" w:hAnsi="Calibri" w:cs="Calibri"/>
                <w:b/>
                <w:sz w:val="20"/>
                <w:szCs w:val="20"/>
                <w:lang w:eastAsia="pl-PL"/>
              </w:rPr>
              <w:t>Obrazowanie i prezentacja obrazu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Kombinacje prezentowanych jednocześnie obrazów. Min.</w:t>
            </w:r>
          </w:p>
          <w:p w:rsidR="004972B2" w:rsidRPr="00C22F3E" w:rsidRDefault="004972B2" w:rsidP="00C22F3E">
            <w:pPr>
              <w:widowControl w:val="0"/>
              <w:numPr>
                <w:ilvl w:val="0"/>
                <w:numId w:val="4"/>
              </w:numPr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Duplex </w:t>
            </w:r>
            <w:proofErr w:type="spellStart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mode</w:t>
            </w:r>
            <w:proofErr w:type="spellEnd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: B+CFM, B+CPA, B+DPD, B/M</w:t>
            </w:r>
          </w:p>
          <w:p w:rsidR="004972B2" w:rsidRPr="00C22F3E" w:rsidRDefault="004972B2" w:rsidP="00C22F3E">
            <w:pPr>
              <w:widowControl w:val="0"/>
              <w:numPr>
                <w:ilvl w:val="0"/>
                <w:numId w:val="4"/>
              </w:numPr>
              <w:rPr>
                <w:rFonts w:ascii="Calibri" w:eastAsia="Calibri" w:hAnsi="Calibri" w:cs="Calibri"/>
                <w:sz w:val="20"/>
                <w:szCs w:val="20"/>
                <w:lang w:val="en-US" w:eastAsia="pl-PL"/>
              </w:rPr>
            </w:pPr>
            <w:proofErr w:type="spellStart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Triplex</w:t>
            </w:r>
            <w:proofErr w:type="spellEnd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mode</w:t>
            </w:r>
            <w:proofErr w:type="spellEnd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: B+CFM+PW, B+CPA+PW, B+DPD+PW, CW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Liczba klatek na sekundę w obrazowaniu B minimum 128 FPS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O</w:t>
            </w:r>
            <w:r w:rsidRPr="00C22F3E">
              <w:rPr>
                <w:rFonts w:ascii="Calibri" w:eastAsia="Calibri" w:hAnsi="Calibri" w:cs="Calibri"/>
                <w:sz w:val="20"/>
                <w:szCs w:val="20"/>
              </w:rPr>
              <w:t>brazowanie harmoniczne,</w:t>
            </w:r>
          </w:p>
        </w:tc>
      </w:tr>
      <w:tr w:rsidR="004972B2" w:rsidRPr="00C22F3E" w:rsidTr="004972B2">
        <w:trPr>
          <w:trHeight w:val="375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Obrazowanie w trybie Doppler Kolorowy (CD),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eastAsia="pl-PL"/>
              </w:rPr>
              <w:t>Zakres prędkości Dopplera kolorów minimum 0.92-5.09m / s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eastAsia="pl-PL"/>
              </w:rPr>
              <w:t>Obrazowanie w trybie Power Doppler (PD) i Power Doppler Kierunkowy,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eastAsia="pl-PL"/>
              </w:rPr>
              <w:t xml:space="preserve">Obrazowanie w rozszerzonym trybie </w:t>
            </w: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eastAsia="pl-PL"/>
              </w:rPr>
              <w:t>Color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eastAsia="pl-PL"/>
              </w:rPr>
              <w:t xml:space="preserve"> Doppler o bardzo wysokiej czułości i rozdzielczości z możliwością wizualizacji bardzo wolnych przepływów w małych naczyniach,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Zakres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prędkości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Dopplera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fali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impulsowej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 xml:space="preserve"> (</w:t>
            </w: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przy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zerowym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kącie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bramki</w:t>
            </w:r>
            <w:proofErr w:type="spellEnd"/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val="en-US" w:eastAsia="pl-PL"/>
              </w:rPr>
              <w:t>) min 15m/s</w:t>
            </w: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Theme="minorHAnsi" w:eastAsiaTheme="minorEastAsia" w:hAnsiTheme="minorHAnsi" w:cstheme="minorBidi"/>
                <w:sz w:val="20"/>
                <w:szCs w:val="20"/>
                <w:lang w:eastAsia="pl-PL"/>
              </w:rPr>
              <w:t>Regulacja bramki dopplerowskiej w zakresie min. 1,0 mm do 8,0 mm,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Możliwość odchylenia wiązki Dopplerowskiej w zakresie min. +/- 20 stopni,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Możliwość korekcji kąta bramki dopplerowskiej w zakresie min. +/- 70 stopni,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Tryb automatycznego ustawiania pozycji ramki dopplerowskiej przez aparat.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Obrazowanie typu „</w:t>
            </w:r>
            <w:proofErr w:type="spellStart"/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Compound</w:t>
            </w:r>
            <w:proofErr w:type="spellEnd"/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”  (tzw. skrzyżowane ultradźwięki),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Obrazowanie trapezowe,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 xml:space="preserve">Obrazowanie rombowe na głowicach liniowych 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 xml:space="preserve">Możliwość rozszerzenia standardowego kąta obrazowania głowicy </w:t>
            </w:r>
            <w:proofErr w:type="spellStart"/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Convex</w:t>
            </w:r>
            <w:proofErr w:type="spellEnd"/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numPr>
                <w:ilvl w:val="0"/>
                <w:numId w:val="3"/>
              </w:num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Obrazowanie B / B+CD  w czasie rzeczywistym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jc w:val="center"/>
              <w:rPr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     33.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Minimum dwie aplikacje wzmacniające uwidocznienie igły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jc w:val="center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34.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Automatyczna optymalizacja obrazu za pomocą jednego przycisku,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  35.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>Zasięgowa regulacja wzmocnienia (TGC lub STC) min. w 8 strefach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ind w:left="360"/>
              <w:contextualSpacing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  <w:t>Archiwizacja obrazów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36.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Wewnętrzny system archiwizacji danych z dyskiem twardym min. 128 GB,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37.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Wbudowane wyjścia USB 2.0 min 2, </w:t>
            </w:r>
            <w:proofErr w:type="spellStart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wi-fi</w:t>
            </w:r>
            <w:proofErr w:type="spellEnd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bluetooth</w:t>
            </w:r>
            <w:proofErr w:type="spellEnd"/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ind w:left="360"/>
              <w:contextualSpacing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  <w:t>Funkcje użytkowe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38. 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Oprogramowanie wspomagające wizualizację igły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ind w:left="36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39.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Raporty z badań,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ind w:left="36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40.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Pełne oprogramowanie do badań:</w:t>
            </w:r>
          </w:p>
          <w:p w:rsidR="004972B2" w:rsidRPr="00C22F3E" w:rsidRDefault="004972B2" w:rsidP="00C22F3E">
            <w:pPr>
              <w:ind w:left="488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  <w:p w:rsidR="004972B2" w:rsidRPr="00C22F3E" w:rsidRDefault="004972B2" w:rsidP="00C22F3E">
            <w:pPr>
              <w:widowControl w:val="0"/>
              <w:numPr>
                <w:ilvl w:val="0"/>
                <w:numId w:val="5"/>
              </w:numPr>
              <w:ind w:left="488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Pediatrycznych,</w:t>
            </w:r>
          </w:p>
          <w:p w:rsidR="004972B2" w:rsidRPr="00C22F3E" w:rsidRDefault="004972B2" w:rsidP="00C22F3E">
            <w:pPr>
              <w:widowControl w:val="0"/>
              <w:numPr>
                <w:ilvl w:val="0"/>
                <w:numId w:val="5"/>
              </w:numPr>
              <w:ind w:left="488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Małych narządów,</w:t>
            </w:r>
          </w:p>
          <w:p w:rsidR="004972B2" w:rsidRPr="00C22F3E" w:rsidRDefault="004972B2" w:rsidP="00C22F3E">
            <w:pPr>
              <w:widowControl w:val="0"/>
              <w:numPr>
                <w:ilvl w:val="0"/>
                <w:numId w:val="5"/>
              </w:numPr>
              <w:ind w:left="488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Naczyniowych,</w:t>
            </w:r>
          </w:p>
          <w:p w:rsidR="004972B2" w:rsidRPr="00C22F3E" w:rsidRDefault="004972B2" w:rsidP="00C22F3E">
            <w:pPr>
              <w:widowControl w:val="0"/>
              <w:numPr>
                <w:ilvl w:val="0"/>
                <w:numId w:val="5"/>
              </w:numPr>
              <w:ind w:left="488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Brzusznych,</w:t>
            </w:r>
          </w:p>
          <w:p w:rsidR="004972B2" w:rsidRPr="00C22F3E" w:rsidRDefault="004972B2" w:rsidP="00C22F3E">
            <w:pPr>
              <w:widowControl w:val="0"/>
              <w:numPr>
                <w:ilvl w:val="0"/>
                <w:numId w:val="5"/>
              </w:numPr>
              <w:ind w:left="488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Mięśniowo-szkieletowych,</w:t>
            </w:r>
          </w:p>
          <w:p w:rsidR="004972B2" w:rsidRPr="00C22F3E" w:rsidRDefault="004972B2" w:rsidP="00C22F3E">
            <w:pPr>
              <w:widowControl w:val="0"/>
              <w:numPr>
                <w:ilvl w:val="0"/>
                <w:numId w:val="5"/>
              </w:numPr>
              <w:ind w:left="488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Położniczych</w:t>
            </w:r>
          </w:p>
          <w:p w:rsidR="004972B2" w:rsidRPr="00C22F3E" w:rsidRDefault="004972B2" w:rsidP="00C22F3E">
            <w:pPr>
              <w:widowControl w:val="0"/>
              <w:numPr>
                <w:ilvl w:val="0"/>
                <w:numId w:val="5"/>
              </w:numPr>
              <w:ind w:left="488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Ginekologicznych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41.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</w:rPr>
              <w:t xml:space="preserve">Automatyczny pomiar kompleksu </w:t>
            </w:r>
            <w:proofErr w:type="spellStart"/>
            <w:r w:rsidRPr="00C22F3E">
              <w:rPr>
                <w:rFonts w:ascii="Calibri" w:eastAsia="Calibri" w:hAnsi="Calibri" w:cs="Calibri"/>
                <w:sz w:val="20"/>
                <w:szCs w:val="20"/>
              </w:rPr>
              <w:t>Intima</w:t>
            </w:r>
            <w:proofErr w:type="spellEnd"/>
            <w:r w:rsidRPr="00C22F3E">
              <w:rPr>
                <w:rFonts w:ascii="Calibri" w:eastAsia="Calibri" w:hAnsi="Calibri" w:cs="Calibri"/>
                <w:sz w:val="20"/>
                <w:szCs w:val="20"/>
              </w:rPr>
              <w:t xml:space="preserve"> Media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42.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</w:rPr>
              <w:t xml:space="preserve">Aparat pozwala na tworzenie raportu z wykresem zmian grubości blaszki miażdżycowej przy kolejnych badaniach 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43.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</w:rPr>
              <w:t>Możliwość wyboru języka polskiego, zmiana języka w systemie bez potrzeby restartowania aparatu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44.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</w:rPr>
              <w:t xml:space="preserve">Aparat powinien posiadać tryb szkoleniowy, pokazujący prawidłowe ułożenie głowicy oraz obraz jaki powinniśmy uzyskać przy danej projekcji. 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45.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</w:rPr>
              <w:t>Automatyczny pomiar średnicy zmian jamistych  w tarczycy.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46.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</w:rPr>
              <w:t>Automatyczny pomiar średnicy zmian jamistych przy badaniu piersi.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47.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</w:rPr>
              <w:t>Automatyczny pomiar objętości pęcherza.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48.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Aparat posiada funkcję podświetlająca konkretne struktury po wykryciu ich przy badaniu układu mięśniowo-szkieletowego. 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ind w:left="360"/>
              <w:contextualSpacing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</w:pPr>
          </w:p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  <w:t xml:space="preserve">Głowice ultradźwiękowe 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ind w:left="360"/>
              <w:contextualSpacing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49.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b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/>
                <w:sz w:val="20"/>
                <w:szCs w:val="20"/>
                <w:lang w:eastAsia="pl-PL"/>
              </w:rPr>
              <w:t>Głowica Liniowa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lastRenderedPageBreak/>
              <w:t xml:space="preserve">50.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Zakres częstotliwości pracy min. 4,5 – 13,0 MHz,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51.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Liczba elementów min. 128,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52.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Szerokość pola skanowania max. 43,5 mm,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53.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  <w:t xml:space="preserve">Głowica </w:t>
            </w:r>
            <w:proofErr w:type="spellStart"/>
            <w:r w:rsidRPr="00C22F3E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  <w:t>Convex</w:t>
            </w:r>
            <w:proofErr w:type="spellEnd"/>
          </w:p>
        </w:tc>
      </w:tr>
      <w:tr w:rsidR="004972B2" w:rsidRPr="00C22F3E" w:rsidTr="004972B2">
        <w:trPr>
          <w:trHeight w:val="222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54.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Zakres częstotliwości pracy min. 1,8 – 6,8 MHz,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55.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Kąt skanowania min. 63 stopnie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56.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Kąt skanowania w trybie rozszerzonym min. 83 stopnie</w:t>
            </w:r>
          </w:p>
        </w:tc>
      </w:tr>
      <w:tr w:rsidR="004972B2" w:rsidRPr="00C22F3E" w:rsidTr="004972B2">
        <w:trPr>
          <w:trHeight w:val="387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57.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Liczba elementów min. 96</w:t>
            </w: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</w:tc>
      </w:tr>
      <w:tr w:rsidR="004972B2" w:rsidRPr="00C22F3E" w:rsidTr="004972B2">
        <w:trPr>
          <w:trHeight w:val="387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 xml:space="preserve">58. 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  <w:t xml:space="preserve">Głowica sektorowa, kardiologiczna </w:t>
            </w:r>
          </w:p>
        </w:tc>
      </w:tr>
      <w:tr w:rsidR="004972B2" w:rsidRPr="00C22F3E" w:rsidTr="004972B2">
        <w:trPr>
          <w:trHeight w:val="387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59.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Zakres częstotliwości pracy min. 1,5 – 5,3 MHz,</w:t>
            </w: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</w:tc>
      </w:tr>
      <w:tr w:rsidR="004972B2" w:rsidRPr="00C22F3E" w:rsidTr="004972B2">
        <w:trPr>
          <w:trHeight w:val="387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60.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Kąt skanowania min. 70 stopni.</w:t>
            </w: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</w:tc>
      </w:tr>
      <w:tr w:rsidR="004972B2" w:rsidRPr="00C22F3E" w:rsidTr="004972B2">
        <w:trPr>
          <w:trHeight w:val="387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61.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Liczba elementów min. 32.</w:t>
            </w: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62.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  <w:t>Możliwości rozbudowy na dzień składania ofert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63.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Możliwość rozbudowy o </w:t>
            </w:r>
            <w:r w:rsidRPr="00C22F3E">
              <w:rPr>
                <w:rFonts w:ascii="Calibri" w:eastAsia="Calibri" w:hAnsi="Calibri" w:cs="Calibri"/>
                <w:bCs/>
                <w:sz w:val="20"/>
                <w:szCs w:val="20"/>
                <w:lang w:eastAsia="pl-PL"/>
              </w:rPr>
              <w:t xml:space="preserve">dedykowany wózek z 4 skrętnymi kołami z możliwością zamocowania konsoli USG, z kubeczkami na głowice 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64.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Możliwość rozbudowy o głowicę sektorową do badan kardiologicznych dorosłych pacjentów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65.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Możliwość rozbudowy o głowicę </w:t>
            </w:r>
            <w:proofErr w:type="spellStart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microconvex</w:t>
            </w:r>
            <w:proofErr w:type="spellEnd"/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 o zakresie częstotliwości pracy min. 5,0 MHz do min. 9,0 MHz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66.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Aparat powinien posiadać tryb szkoleniowy ukazujący prawidłowe projekcie uzyskiwane podczas badania kardiologicznego oraz nazywający dane jamy serca przy uzyskaniu określonych projekcji.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pl-PL"/>
              </w:rPr>
              <w:t>Inne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67.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Gwarancja min. 60 miesięcy od dnia instalacji urządzenia</w:t>
            </w: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68.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Instrukcja obsługi w języku polskim (dostarczyć wraz z aparatem)</w:t>
            </w: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69.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 xml:space="preserve">Certyfikat CE </w:t>
            </w: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</w:tc>
      </w:tr>
      <w:tr w:rsidR="004972B2" w:rsidRPr="00C22F3E" w:rsidTr="004972B2">
        <w:trPr>
          <w:trHeight w:val="340"/>
          <w:jc w:val="right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972B2" w:rsidRPr="00C22F3E" w:rsidRDefault="004972B2" w:rsidP="00C22F3E">
            <w:pPr>
              <w:widowControl w:val="0"/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Arial Narrow" w:hAnsi="Calibri" w:cs="Calibri"/>
                <w:sz w:val="20"/>
                <w:szCs w:val="20"/>
                <w:lang w:eastAsia="pl-PL"/>
              </w:rPr>
              <w:t>70.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  <w:r w:rsidRPr="00C22F3E">
              <w:rPr>
                <w:rFonts w:ascii="Calibri" w:eastAsia="Calibri" w:hAnsi="Calibri" w:cs="Calibri"/>
                <w:sz w:val="20"/>
                <w:szCs w:val="20"/>
                <w:lang w:eastAsia="pl-PL"/>
              </w:rPr>
              <w:t>Autoryzacja producenta na serwis i sprzedaż zaoferowanego aparatu USG na terenie Polski (dokumenty załączyć)</w:t>
            </w:r>
          </w:p>
          <w:p w:rsidR="004972B2" w:rsidRPr="00C22F3E" w:rsidRDefault="004972B2" w:rsidP="00C22F3E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pl-PL"/>
              </w:rPr>
            </w:pPr>
          </w:p>
        </w:tc>
      </w:tr>
    </w:tbl>
    <w:p w:rsidR="00D7212D" w:rsidRDefault="00D7212D">
      <w:pPr>
        <w:pStyle w:val="Tekstpodstawowy"/>
        <w:jc w:val="both"/>
        <w:rPr>
          <w:b/>
        </w:rPr>
      </w:pPr>
    </w:p>
    <w:p w:rsidR="00A7540B" w:rsidRDefault="00D44974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  <w:color w:val="000000"/>
          <w:lang w:bidi="pl-PL"/>
        </w:rPr>
      </w:pPr>
      <w:r>
        <w:rPr>
          <w:b/>
          <w:bCs/>
          <w:color w:val="000000"/>
          <w:lang w:bidi="pl-PL"/>
        </w:rPr>
        <w:t>2) analizator diagnostyczny – 1 sztuka, o parametrach:</w:t>
      </w:r>
    </w:p>
    <w:p w:rsidR="00A7540B" w:rsidRDefault="00D44974">
      <w:pPr>
        <w:ind w:left="510"/>
        <w:rPr>
          <w:sz w:val="22"/>
          <w:szCs w:val="22"/>
        </w:rPr>
      </w:pPr>
      <w:r>
        <w:rPr>
          <w:sz w:val="22"/>
          <w:szCs w:val="22"/>
        </w:rPr>
        <w:t>- analizator fabrycznie nowy, bez wad i uszkodzeń</w:t>
      </w:r>
    </w:p>
    <w:p w:rsidR="00A7540B" w:rsidRDefault="00D44974">
      <w:pPr>
        <w:ind w:left="510"/>
        <w:rPr>
          <w:sz w:val="22"/>
          <w:szCs w:val="22"/>
        </w:rPr>
      </w:pPr>
      <w:r>
        <w:rPr>
          <w:sz w:val="22"/>
          <w:szCs w:val="22"/>
        </w:rPr>
        <w:t>- dotykowy ekran, wbudowana drukarka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WŁAŚCIWOŚCI: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Maksymalna czułość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Autokalibracja</w:t>
      </w:r>
      <w:proofErr w:type="spellEnd"/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Szybki wynik - w kilka minut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Łączność LIS/HIS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rozmiar urządzenia – mały, tzn. łatwy do przenoszenia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Automatyczne wyświetlanie rezultatu na ekranie urządzenia oraz możliwość jego wydrukowania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Interfejs w języku polskim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zapisywanie wyników badań w pamięci urządzenia – min. 8 000 tys.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Inne porty komunikacyjne dostępne w analizatorze: DC – IN/ RJ45/ USB B/ CAN-IN/ CAN-</w:t>
      </w:r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        OUT/ RS232</w:t>
      </w:r>
    </w:p>
    <w:p w:rsidR="00A7540B" w:rsidRDefault="00D44974">
      <w:pPr>
        <w:ind w:left="227"/>
        <w:rPr>
          <w:sz w:val="22"/>
          <w:szCs w:val="22"/>
        </w:rPr>
      </w:pPr>
      <w:r>
        <w:rPr>
          <w:sz w:val="22"/>
          <w:szCs w:val="22"/>
        </w:rPr>
        <w:t>PARAMETRY TECHNICZNE ANALIZATORA: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źródło światła wzbudzającego: LED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lastRenderedPageBreak/>
        <w:t>- badana próbka: krew pełna, surowica, osocze, mocz i kał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środowisko pracy: system operacyjny Android 5.1.1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interfejs: port szeregowy, USB, sieć Internet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wbudowane porty komunikacyjne: DC – IN/ RJ45/ USB B/ CAN-IN/ CAN-OUT/ RS232</w:t>
      </w:r>
    </w:p>
    <w:p w:rsidR="00A7540B" w:rsidRDefault="00D44974">
      <w:pPr>
        <w:ind w:left="454"/>
        <w:rPr>
          <w:sz w:val="22"/>
          <w:szCs w:val="22"/>
        </w:rPr>
      </w:pPr>
      <w:r>
        <w:rPr>
          <w:sz w:val="22"/>
          <w:szCs w:val="22"/>
        </w:rPr>
        <w:t>- możliwość wpięcia myszki i klawiatury (dostępne dwa porty)</w:t>
      </w:r>
    </w:p>
    <w:p w:rsidR="00A7540B" w:rsidRDefault="00D44974">
      <w:pPr>
        <w:tabs>
          <w:tab w:val="left" w:pos="0"/>
        </w:tabs>
        <w:spacing w:line="276" w:lineRule="auto"/>
        <w:ind w:left="454"/>
        <w:contextualSpacing/>
        <w:jc w:val="both"/>
        <w:rPr>
          <w:color w:val="000000"/>
          <w:sz w:val="22"/>
          <w:szCs w:val="22"/>
          <w:lang w:bidi="pl-PL"/>
        </w:rPr>
      </w:pPr>
      <w:r>
        <w:rPr>
          <w:color w:val="000000"/>
          <w:sz w:val="22"/>
          <w:szCs w:val="22"/>
          <w:lang w:bidi="pl-PL"/>
        </w:rPr>
        <w:t>- wbudowana drukarka: wewnętrzna drukarka termiczna</w:t>
      </w:r>
    </w:p>
    <w:p w:rsidR="00A7540B" w:rsidRDefault="00A7540B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</w:rPr>
      </w:pPr>
    </w:p>
    <w:p w:rsidR="00A7540B" w:rsidRDefault="00D44974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</w:rPr>
      </w:pPr>
      <w:r>
        <w:rPr>
          <w:b/>
          <w:bCs/>
          <w:color w:val="000000"/>
          <w:lang w:bidi="pl-PL"/>
        </w:rPr>
        <w:t>3) otoskop – 1 sztuka, o parametrach:</w:t>
      </w:r>
    </w:p>
    <w:p w:rsidR="00A7540B" w:rsidRDefault="00D44974">
      <w:pPr>
        <w:ind w:left="397"/>
      </w:pPr>
      <w:r>
        <w:rPr>
          <w:sz w:val="22"/>
          <w:szCs w:val="22"/>
        </w:rPr>
        <w:t xml:space="preserve">- Bezobsługowe oświetlenie </w:t>
      </w:r>
    </w:p>
    <w:p w:rsidR="00A7540B" w:rsidRDefault="00D44974">
      <w:pPr>
        <w:ind w:left="397"/>
        <w:rPr>
          <w:sz w:val="22"/>
          <w:szCs w:val="22"/>
        </w:rPr>
      </w:pPr>
      <w:r>
        <w:rPr>
          <w:sz w:val="22"/>
          <w:szCs w:val="22"/>
        </w:rPr>
        <w:t xml:space="preserve">- Optymalne zarządzanie temperaturą diody LED </w:t>
      </w:r>
    </w:p>
    <w:p w:rsidR="00A7540B" w:rsidRDefault="00D44974">
      <w:pPr>
        <w:ind w:left="397"/>
        <w:rPr>
          <w:sz w:val="22"/>
          <w:szCs w:val="22"/>
        </w:rPr>
      </w:pPr>
      <w:r>
        <w:rPr>
          <w:sz w:val="22"/>
          <w:szCs w:val="22"/>
        </w:rPr>
        <w:t>- Technologia LED HQ gwarantująca najwierniejsze odzwierciedlenie rzeczywistych kolorów.</w:t>
      </w:r>
    </w:p>
    <w:p w:rsidR="00A7540B" w:rsidRDefault="00D44974">
      <w:pPr>
        <w:ind w:left="397"/>
        <w:rPr>
          <w:sz w:val="22"/>
          <w:szCs w:val="22"/>
        </w:rPr>
      </w:pPr>
      <w:r>
        <w:rPr>
          <w:sz w:val="22"/>
          <w:szCs w:val="22"/>
        </w:rPr>
        <w:t>- Homogeniczne, jasne oświetlenie całego obrazu z temperaturą koloru 4000 K.</w:t>
      </w:r>
    </w:p>
    <w:p w:rsidR="00A7540B" w:rsidRDefault="00D44974">
      <w:pPr>
        <w:pStyle w:val="Akapitzlist"/>
        <w:ind w:left="397"/>
        <w:rPr>
          <w:sz w:val="22"/>
          <w:szCs w:val="22"/>
        </w:rPr>
      </w:pPr>
      <w:r>
        <w:rPr>
          <w:sz w:val="22"/>
          <w:szCs w:val="22"/>
        </w:rPr>
        <w:t xml:space="preserve">- Możliwość podłączenia gruszki </w:t>
      </w:r>
      <w:proofErr w:type="spellStart"/>
      <w:r>
        <w:rPr>
          <w:sz w:val="22"/>
          <w:szCs w:val="22"/>
        </w:rPr>
        <w:t>insuflacyjnej</w:t>
      </w:r>
      <w:proofErr w:type="spellEnd"/>
      <w:r>
        <w:rPr>
          <w:sz w:val="22"/>
          <w:szCs w:val="22"/>
        </w:rPr>
        <w:t xml:space="preserve"> </w:t>
      </w:r>
    </w:p>
    <w:p w:rsidR="00A7540B" w:rsidRDefault="00D44974">
      <w:pPr>
        <w:pStyle w:val="Akapitzlist"/>
        <w:ind w:left="397"/>
        <w:rPr>
          <w:sz w:val="22"/>
          <w:szCs w:val="22"/>
        </w:rPr>
      </w:pPr>
      <w:r>
        <w:rPr>
          <w:sz w:val="22"/>
          <w:szCs w:val="22"/>
        </w:rPr>
        <w:t xml:space="preserve">- Rękojeść zasilana bateryjne </w:t>
      </w:r>
    </w:p>
    <w:p w:rsidR="00A7540B" w:rsidRDefault="00D44974">
      <w:pPr>
        <w:pStyle w:val="Akapitzlist"/>
        <w:ind w:left="397"/>
        <w:rPr>
          <w:sz w:val="22"/>
          <w:szCs w:val="22"/>
        </w:rPr>
      </w:pPr>
      <w:r>
        <w:rPr>
          <w:sz w:val="22"/>
          <w:szCs w:val="22"/>
        </w:rPr>
        <w:t xml:space="preserve">- Wzierniki jednorazowego użytku </w:t>
      </w:r>
      <w:proofErr w:type="spellStart"/>
      <w:r>
        <w:rPr>
          <w:sz w:val="22"/>
          <w:szCs w:val="22"/>
        </w:rPr>
        <w:t>AllSpec</w:t>
      </w:r>
      <w:proofErr w:type="spellEnd"/>
      <w:r>
        <w:rPr>
          <w:sz w:val="22"/>
          <w:szCs w:val="22"/>
        </w:rPr>
        <w:t xml:space="preserve"> (po 5 szt. w rozmiarach 2,5 i 4 mm)</w:t>
      </w:r>
    </w:p>
    <w:p w:rsidR="00A7540B" w:rsidRDefault="00D44974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</w:rPr>
      </w:pPr>
      <w:r>
        <w:rPr>
          <w:b/>
          <w:bCs/>
          <w:color w:val="000000"/>
          <w:lang w:bidi="pl-PL"/>
        </w:rPr>
        <w:t>4) model do badania piersi – 1 sztuka, o parametrach: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model posiadający trzy średniej wielkości oryginalnie uformowane piersi kobiece umieszczone na podstawce, w tym: 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Model 1 (lewa pierś): 2 zaokrąglone, ruchome guzy na głębokości 10 mm, średnicy ok. 20 mm,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przypuszczalnie łagodne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Model 2 (lewa pierś) 1.nieregularny guz na głębokości 15 mm, przylegający do ścianki klatki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piersiowej, średnicy około 15 mm, przypuszczalnie złośliwy. 2.nieregularny guz na głębokości 15 mm, przylegający do ścianki klatki piersiowej, średnicy około 20 mm, przypuszczalnie złośliwy.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3.kolumnowy, nieregularny guz na głębokości 10 mm, przylegający do ścianki klatki</w:t>
      </w:r>
    </w:p>
    <w:p w:rsidR="00A7540B" w:rsidRDefault="00D44974">
      <w:pPr>
        <w:ind w:left="340"/>
        <w:rPr>
          <w:sz w:val="22"/>
          <w:szCs w:val="22"/>
        </w:rPr>
      </w:pPr>
      <w:proofErr w:type="spellStart"/>
      <w:r>
        <w:rPr>
          <w:sz w:val="22"/>
          <w:szCs w:val="22"/>
        </w:rPr>
        <w:t>piersiowej,średnicy</w:t>
      </w:r>
      <w:proofErr w:type="spellEnd"/>
      <w:r>
        <w:rPr>
          <w:sz w:val="22"/>
          <w:szCs w:val="22"/>
        </w:rPr>
        <w:t xml:space="preserve"> około 30 mm, złośliwy. 4.trwale wciągnięta, przekrwiona brodawka sutkowa,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często w połączeniu ze złośliwym guzem. 5.skórka pomarańczy struktura skóry jak w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pomarańczowym łuszczeniu z zatkanym porem przez zastój chłonki (limfy) przy guzie złośliwym.</w:t>
      </w:r>
    </w:p>
    <w:p w:rsidR="00A7540B" w:rsidRDefault="00D44974">
      <w:pPr>
        <w:tabs>
          <w:tab w:val="left" w:pos="0"/>
        </w:tabs>
        <w:spacing w:line="276" w:lineRule="auto"/>
        <w:ind w:left="340"/>
        <w:contextualSpacing/>
        <w:jc w:val="both"/>
        <w:rPr>
          <w:color w:val="000000"/>
          <w:sz w:val="22"/>
          <w:szCs w:val="22"/>
          <w:lang w:bidi="pl-PL"/>
        </w:rPr>
      </w:pPr>
      <w:r>
        <w:rPr>
          <w:color w:val="000000"/>
          <w:sz w:val="22"/>
          <w:szCs w:val="22"/>
          <w:lang w:bidi="pl-PL"/>
        </w:rPr>
        <w:t>Model 3 (prawa pierś) Zdrowa.</w:t>
      </w:r>
    </w:p>
    <w:p w:rsidR="00A7540B" w:rsidRDefault="00A7540B">
      <w:pPr>
        <w:tabs>
          <w:tab w:val="left" w:pos="0"/>
        </w:tabs>
        <w:spacing w:line="276" w:lineRule="auto"/>
        <w:contextualSpacing/>
        <w:jc w:val="both"/>
        <w:rPr>
          <w:color w:val="000000"/>
          <w:lang w:bidi="pl-PL"/>
        </w:rPr>
      </w:pPr>
    </w:p>
    <w:p w:rsidR="00A7540B" w:rsidRDefault="00D44974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</w:rPr>
      </w:pPr>
      <w:r>
        <w:rPr>
          <w:b/>
          <w:bCs/>
          <w:color w:val="000000"/>
          <w:lang w:bidi="pl-PL"/>
        </w:rPr>
        <w:t>5) bieżnia do prób wysiłkowych – 1 sztuka, o parametrach: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bieżnia do badań wysiłkowych oraz rehabilitacji kardiologicznej;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wbudowany w bieżnię moduł EKG zapewniający bieżący monitoring pracy serca, system   kontroli nachylenia;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inklinometr pozwalający na precyzyjne zadawanie obciążenia poprzez zmianę pochylenia bieżni;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bieżnia winna współpracować z systemem do badań wysiłkowych </w:t>
      </w:r>
      <w:proofErr w:type="spellStart"/>
      <w:r>
        <w:rPr>
          <w:sz w:val="22"/>
          <w:szCs w:val="22"/>
        </w:rPr>
        <w:t>CardioTEST</w:t>
      </w:r>
      <w:proofErr w:type="spellEnd"/>
      <w:r>
        <w:rPr>
          <w:sz w:val="22"/>
          <w:szCs w:val="22"/>
        </w:rPr>
        <w:t xml:space="preserve"> oraz z systemem do rehabilitacji kardiologicznej </w:t>
      </w:r>
      <w:proofErr w:type="spellStart"/>
      <w:r>
        <w:rPr>
          <w:sz w:val="22"/>
          <w:szCs w:val="22"/>
        </w:rPr>
        <w:t>AsTER</w:t>
      </w:r>
      <w:proofErr w:type="spellEnd"/>
      <w:r>
        <w:rPr>
          <w:sz w:val="22"/>
          <w:szCs w:val="22"/>
        </w:rPr>
        <w:t xml:space="preserve"> 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maksymalna dopuszczalna waga pacjenta: min.180 kg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wyłącznik bezpieczeństwa: 2 szt. na poręczach i opcjonalnie jeden zewnętrzny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sterowanie za pomocą komputera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dodatkowe funkcje: funkcja ZERO START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wbudowany moduł EKG: 12 standardowych </w:t>
      </w:r>
      <w:proofErr w:type="spellStart"/>
      <w:r>
        <w:rPr>
          <w:sz w:val="22"/>
          <w:szCs w:val="22"/>
        </w:rPr>
        <w:t>odprowadzeń</w:t>
      </w:r>
      <w:proofErr w:type="spellEnd"/>
      <w:r>
        <w:rPr>
          <w:sz w:val="22"/>
          <w:szCs w:val="22"/>
        </w:rPr>
        <w:t xml:space="preserve"> (tryb: wysiłkowy)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wbudowany moduł EKG: 2 odprowadzenia (tryb: rehabilitacja)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wbudowany moduł EKG: tak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wbudowany moduł EKG: zakres częstotliwości 0,05-150 </w:t>
      </w:r>
      <w:proofErr w:type="spellStart"/>
      <w:r>
        <w:rPr>
          <w:sz w:val="22"/>
          <w:szCs w:val="22"/>
        </w:rPr>
        <w:t>Hz</w:t>
      </w:r>
      <w:proofErr w:type="spellEnd"/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wbudowany moduł EKG: zakres pomiaru HR 25-300 </w:t>
      </w:r>
      <w:proofErr w:type="spellStart"/>
      <w:r>
        <w:rPr>
          <w:sz w:val="22"/>
          <w:szCs w:val="22"/>
        </w:rPr>
        <w:t>bpm</w:t>
      </w:r>
      <w:proofErr w:type="spellEnd"/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detekcja odpięcia elektrody INOP: tak</w:t>
      </w:r>
    </w:p>
    <w:p w:rsidR="00A7540B" w:rsidRDefault="00D44974">
      <w:pPr>
        <w:ind w:left="34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Standardowe wyposażenie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 -bieżnia 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elektrody jednorazowe 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instrukcja użytkowania w języku polskim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kabel do transmisji danych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kabel pacjenta KEKG 51 (system wysiłkowy)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kabel pacjenta KEKG 52 (rehabilitacja kardiologiczna)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kabel sieciowy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karta gwarancyjna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lastRenderedPageBreak/>
        <w:t>- klucz odblokowujący (duży Jack) bieżnię po naciśnięciu STOP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olej silikonowy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pasta abrazyjna</w:t>
      </w:r>
    </w:p>
    <w:p w:rsidR="00A7540B" w:rsidRDefault="00D44974">
      <w:pPr>
        <w:ind w:left="397"/>
        <w:rPr>
          <w:sz w:val="22"/>
          <w:szCs w:val="22"/>
        </w:rPr>
      </w:pPr>
      <w:r>
        <w:rPr>
          <w:sz w:val="22"/>
          <w:szCs w:val="22"/>
        </w:rPr>
        <w:t>- wkładka bezpiecznikowa topikowa (2 szt.)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zestaw montażowy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zewnętrzny wyłącznik bezpieczeństwa</w:t>
      </w:r>
    </w:p>
    <w:p w:rsidR="00A7540B" w:rsidRDefault="00D44974">
      <w:pPr>
        <w:ind w:left="283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Wyposażenie dodatkowe wymagane: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 xml:space="preserve">- oprogramowanie </w:t>
      </w:r>
      <w:proofErr w:type="spellStart"/>
      <w:r>
        <w:rPr>
          <w:sz w:val="22"/>
          <w:szCs w:val="22"/>
        </w:rPr>
        <w:t>AsTER</w:t>
      </w:r>
      <w:proofErr w:type="spellEnd"/>
      <w:r>
        <w:rPr>
          <w:sz w:val="22"/>
          <w:szCs w:val="22"/>
        </w:rPr>
        <w:t xml:space="preserve"> oraz </w:t>
      </w:r>
      <w:proofErr w:type="spellStart"/>
      <w:r>
        <w:rPr>
          <w:sz w:val="22"/>
          <w:szCs w:val="22"/>
        </w:rPr>
        <w:t>CardioTEST</w:t>
      </w:r>
      <w:proofErr w:type="spellEnd"/>
    </w:p>
    <w:p w:rsidR="00A7540B" w:rsidRDefault="00D44974">
      <w:pPr>
        <w:tabs>
          <w:tab w:val="left" w:pos="0"/>
        </w:tabs>
        <w:spacing w:line="276" w:lineRule="auto"/>
        <w:ind w:left="283"/>
        <w:contextualSpacing/>
        <w:jc w:val="both"/>
        <w:rPr>
          <w:color w:val="000000"/>
          <w:sz w:val="22"/>
          <w:szCs w:val="22"/>
          <w:lang w:bidi="pl-PL"/>
        </w:rPr>
      </w:pPr>
      <w:r>
        <w:rPr>
          <w:color w:val="000000"/>
          <w:sz w:val="22"/>
          <w:szCs w:val="22"/>
          <w:lang w:bidi="pl-PL"/>
        </w:rPr>
        <w:t>- poręcz pediatryczna</w:t>
      </w:r>
    </w:p>
    <w:p w:rsidR="00A7540B" w:rsidRDefault="00A7540B">
      <w:pPr>
        <w:tabs>
          <w:tab w:val="left" w:pos="0"/>
        </w:tabs>
        <w:spacing w:line="276" w:lineRule="auto"/>
        <w:contextualSpacing/>
        <w:jc w:val="both"/>
        <w:rPr>
          <w:b/>
          <w:bCs/>
          <w:color w:val="000000"/>
          <w:lang w:bidi="pl-PL"/>
        </w:rPr>
      </w:pPr>
    </w:p>
    <w:p w:rsidR="00A7540B" w:rsidRDefault="00D44974">
      <w:pPr>
        <w:tabs>
          <w:tab w:val="left" w:pos="0"/>
        </w:tabs>
        <w:spacing w:line="276" w:lineRule="auto"/>
        <w:contextualSpacing/>
        <w:jc w:val="both"/>
      </w:pPr>
      <w:r>
        <w:rPr>
          <w:b/>
          <w:bCs/>
          <w:color w:val="000000"/>
          <w:lang w:bidi="pl-PL"/>
        </w:rPr>
        <w:t>6) cykloergometr – 1 sztuka, o parametrach:</w:t>
      </w:r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 - współpraca z system do badań wysiłkowych </w:t>
      </w:r>
      <w:proofErr w:type="spellStart"/>
      <w:r>
        <w:rPr>
          <w:sz w:val="22"/>
          <w:szCs w:val="22"/>
        </w:rPr>
        <w:t>CardioTEST</w:t>
      </w:r>
      <w:proofErr w:type="spellEnd"/>
      <w:r>
        <w:rPr>
          <w:sz w:val="22"/>
          <w:szCs w:val="22"/>
        </w:rPr>
        <w:t xml:space="preserve"> oraz z systemem do rehabilitacji</w:t>
      </w:r>
    </w:p>
    <w:p w:rsidR="00A7540B" w:rsidRDefault="00D44974">
      <w:pPr>
        <w:ind w:left="227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spellStart"/>
      <w:r>
        <w:rPr>
          <w:sz w:val="22"/>
          <w:szCs w:val="22"/>
        </w:rPr>
        <w:t>kardiologicznj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AsTER</w:t>
      </w:r>
      <w:proofErr w:type="spellEnd"/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 - sterowanie z wykorzystaniem komputera poprzez port RS-232</w:t>
      </w:r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 - hamowanie: sterowany procesorem hamulec</w:t>
      </w:r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 - obciążenie niezależne od liczby obrotów</w:t>
      </w:r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 - wbudowany moduł EKG</w:t>
      </w:r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 - 12 standardowych </w:t>
      </w:r>
      <w:proofErr w:type="spellStart"/>
      <w:r>
        <w:rPr>
          <w:sz w:val="22"/>
          <w:szCs w:val="22"/>
        </w:rPr>
        <w:t>odprowadzeń</w:t>
      </w:r>
      <w:proofErr w:type="spellEnd"/>
      <w:r>
        <w:rPr>
          <w:sz w:val="22"/>
          <w:szCs w:val="22"/>
        </w:rPr>
        <w:t xml:space="preserve"> w trybie diagnostycznym</w:t>
      </w:r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 - 2 odprowadzenia w trybie treningowym</w:t>
      </w:r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- zakres pomiaru HR 15-240 </w:t>
      </w:r>
      <w:proofErr w:type="spellStart"/>
      <w:r>
        <w:rPr>
          <w:sz w:val="22"/>
          <w:szCs w:val="22"/>
        </w:rPr>
        <w:t>bpm</w:t>
      </w:r>
      <w:proofErr w:type="spellEnd"/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- maksymalna waga pacjenta: nie mniej niż 180 kg</w:t>
      </w:r>
    </w:p>
    <w:p w:rsidR="00A7540B" w:rsidRDefault="00D44974">
      <w:pPr>
        <w:rPr>
          <w:sz w:val="22"/>
          <w:szCs w:val="22"/>
        </w:rPr>
      </w:pPr>
      <w:r>
        <w:rPr>
          <w:sz w:val="22"/>
          <w:szCs w:val="22"/>
        </w:rPr>
        <w:t xml:space="preserve">   - zasilanie: 230 V, 50 </w:t>
      </w:r>
      <w:proofErr w:type="spellStart"/>
      <w:r>
        <w:rPr>
          <w:sz w:val="22"/>
          <w:szCs w:val="22"/>
        </w:rPr>
        <w:t>Hz</w:t>
      </w:r>
      <w:proofErr w:type="spellEnd"/>
      <w:r>
        <w:rPr>
          <w:sz w:val="22"/>
          <w:szCs w:val="22"/>
        </w:rPr>
        <w:t>, 60VA</w:t>
      </w:r>
    </w:p>
    <w:p w:rsidR="00A7540B" w:rsidRDefault="00D44974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Wyposażenie: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cykloergometr 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kabel pacjenta do systemu wysiłkowego KEKG-51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kabel pacjenta do systemu rehabilitacji kardiologicznej KEKG-52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- 50 x elektrody jednorazowe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pasta abrazyjna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zasilacz sieciowy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kabel sieciowy</w:t>
      </w:r>
    </w:p>
    <w:p w:rsidR="00A7540B" w:rsidRDefault="00D44974">
      <w:pPr>
        <w:tabs>
          <w:tab w:val="left" w:pos="0"/>
        </w:tabs>
        <w:spacing w:line="276" w:lineRule="auto"/>
        <w:ind w:left="340"/>
        <w:contextualSpacing/>
        <w:jc w:val="both"/>
        <w:rPr>
          <w:color w:val="000000"/>
          <w:sz w:val="22"/>
          <w:szCs w:val="22"/>
          <w:lang w:bidi="pl-PL"/>
        </w:rPr>
      </w:pPr>
      <w:r>
        <w:rPr>
          <w:color w:val="000000"/>
          <w:sz w:val="22"/>
          <w:szCs w:val="22"/>
          <w:lang w:bidi="pl-PL"/>
        </w:rPr>
        <w:t>- kabel do transmisji danych</w:t>
      </w:r>
    </w:p>
    <w:p w:rsidR="00A7540B" w:rsidRDefault="00A7540B">
      <w:pPr>
        <w:tabs>
          <w:tab w:val="left" w:pos="0"/>
        </w:tabs>
        <w:spacing w:line="276" w:lineRule="auto"/>
        <w:contextualSpacing/>
        <w:jc w:val="both"/>
        <w:rPr>
          <w:b/>
          <w:bCs/>
          <w:color w:val="000000"/>
          <w:lang w:bidi="pl-PL"/>
        </w:rPr>
      </w:pPr>
    </w:p>
    <w:p w:rsidR="00A7540B" w:rsidRDefault="00D44974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</w:rPr>
      </w:pPr>
      <w:r>
        <w:rPr>
          <w:b/>
          <w:bCs/>
          <w:color w:val="000000"/>
          <w:lang w:bidi="pl-PL"/>
        </w:rPr>
        <w:t>7) system wysiłkowy do wykonywania elektrokardiograficznych badań wysiłkowych oraz badań spoczynkowych z możliwością generowania raportów, archiwizacją badań EKG, przeglądaniem opisywaniem – 1 sztuka, posiada minimum: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system do elektrokardiograficznych badań wysiłkowych składający się z oprogramowania </w:t>
      </w:r>
      <w:proofErr w:type="spellStart"/>
      <w:r>
        <w:rPr>
          <w:sz w:val="22"/>
          <w:szCs w:val="22"/>
        </w:rPr>
        <w:t>CardioTEST</w:t>
      </w:r>
      <w:proofErr w:type="spellEnd"/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specyfikację techniczną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pływanie linii izoelektrycznej oraz zakłócenia pochodzenia mięśniowego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nieprzerwana rejestracja i prezentacja sygnału EKG z 12 </w:t>
      </w:r>
      <w:proofErr w:type="spellStart"/>
      <w:r>
        <w:rPr>
          <w:sz w:val="22"/>
          <w:szCs w:val="22"/>
        </w:rPr>
        <w:t>odprowadzeń</w:t>
      </w:r>
      <w:proofErr w:type="spellEnd"/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prezentacja uśrednionych zespołów P-QRS-T z 12 </w:t>
      </w:r>
      <w:proofErr w:type="spellStart"/>
      <w:r>
        <w:rPr>
          <w:sz w:val="22"/>
          <w:szCs w:val="22"/>
        </w:rPr>
        <w:t>odprowadzeń</w:t>
      </w:r>
      <w:proofErr w:type="spellEnd"/>
      <w:r>
        <w:rPr>
          <w:sz w:val="22"/>
          <w:szCs w:val="22"/>
        </w:rPr>
        <w:t xml:space="preserve"> wraz z wynikami pomiarów poziomu i  nachylenia odcinka ST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automatyczny pomiar HR, poziomu ST i nachylenia odcinka ST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automatyczne sterowanie obciążeniem cykloergometru i bieżni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archiwizacja i wydruk raportu przeprowadzonego badania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automatyczne wyznaczenie punktów pomiarowych z możliwością ręcznej korekty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automatyczna analiza arytmii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prezentacja parametrów dotyczących: fazy badania, bieżącego obciążenia, czasu etapu i całkowitego czasu wysiłku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Monitorowane parametry: częstości rytmu, MET, podwójny produkt, ciśnienie krwi, poziom, nachylenie odcinka ST oraz obciążenie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wydruk EKG w czasie rzeczywistym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podgląd trendów wszystkich mierzonych parametrów w trakcie badania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system alarmów dla monitorowanych parametrów i arytmii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lastRenderedPageBreak/>
        <w:t>- archiwizacja i wydruk raportu umożliwiającego wiarygodną ocenę badania (raport zawiera zapis EKG, uśrednione zespoły P-QRS-T oraz tabelę z wynikami pomiarów)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Standardowe protokoły badań oraz możliwość definiowania własnych protokołów również w trybie RAMP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podgląd raportu na ekranie przed wydrukiem raportu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funkcja </w:t>
      </w:r>
      <w:proofErr w:type="spellStart"/>
      <w:r>
        <w:rPr>
          <w:sz w:val="22"/>
          <w:szCs w:val="22"/>
        </w:rPr>
        <w:t>reanalizy</w:t>
      </w:r>
      <w:proofErr w:type="spellEnd"/>
      <w:r>
        <w:rPr>
          <w:sz w:val="22"/>
          <w:szCs w:val="22"/>
        </w:rPr>
        <w:t xml:space="preserve"> wykonanego badania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prezentacja trendów 3D ilustrujących zmiany odcinka ST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wyposażone w o</w:t>
      </w:r>
      <w:r>
        <w:rPr>
          <w:color w:val="000000"/>
          <w:sz w:val="22"/>
          <w:szCs w:val="22"/>
          <w:lang w:bidi="pl-PL"/>
        </w:rPr>
        <w:t xml:space="preserve">programowanie </w:t>
      </w:r>
      <w:proofErr w:type="spellStart"/>
      <w:r>
        <w:rPr>
          <w:color w:val="000000"/>
          <w:sz w:val="22"/>
          <w:szCs w:val="22"/>
          <w:lang w:bidi="pl-PL"/>
        </w:rPr>
        <w:t>CardioTEST</w:t>
      </w:r>
      <w:proofErr w:type="spellEnd"/>
      <w:r>
        <w:rPr>
          <w:color w:val="000000"/>
          <w:sz w:val="22"/>
          <w:szCs w:val="22"/>
          <w:lang w:bidi="pl-PL"/>
        </w:rPr>
        <w:t xml:space="preserve"> z kluczem zabezpieczającym USB</w:t>
      </w:r>
    </w:p>
    <w:p w:rsidR="00A7540B" w:rsidRDefault="00A7540B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  <w:color w:val="000000"/>
          <w:lang w:bidi="pl-PL"/>
        </w:rPr>
      </w:pPr>
    </w:p>
    <w:p w:rsidR="00A7540B" w:rsidRDefault="00D44974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</w:rPr>
      </w:pPr>
      <w:r>
        <w:rPr>
          <w:b/>
          <w:bCs/>
          <w:color w:val="000000"/>
          <w:lang w:bidi="pl-PL"/>
        </w:rPr>
        <w:t>8) chłodziarka farmaceutyczna z monitoringiem temperatury – 2 sztuki, o parametrach: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posiada drzwi przeszklone;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wyposażona w płaski kontroler z ekranem dotykowym, kontroler będzie wyświetlał, sygnalizował i rejestrował minimalne i maksymalne temperatury dla obu sond temperatury;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posiada cyfrowy zamek, 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 xml:space="preserve">- posiada sondę temperatury o długości 1 metra, </w:t>
      </w:r>
    </w:p>
    <w:p w:rsidR="00A7540B" w:rsidRDefault="00D44974">
      <w:pPr>
        <w:ind w:left="340"/>
        <w:rPr>
          <w:sz w:val="22"/>
          <w:szCs w:val="22"/>
        </w:rPr>
      </w:pPr>
      <w:r>
        <w:rPr>
          <w:sz w:val="22"/>
          <w:szCs w:val="22"/>
        </w:rPr>
        <w:t>- zakres temperatury od +2°C do +8°C</w:t>
      </w:r>
    </w:p>
    <w:p w:rsidR="00A7540B" w:rsidRDefault="00D44974">
      <w:pPr>
        <w:ind w:left="340"/>
        <w:rPr>
          <w:color w:val="000000"/>
          <w:sz w:val="22"/>
          <w:szCs w:val="22"/>
          <w:lang w:bidi="pl-PL"/>
        </w:rPr>
      </w:pPr>
      <w:r>
        <w:rPr>
          <w:color w:val="000000"/>
          <w:sz w:val="22"/>
          <w:szCs w:val="22"/>
          <w:lang w:bidi="pl-PL"/>
        </w:rPr>
        <w:t>- pojemność 66 litrów.</w:t>
      </w:r>
    </w:p>
    <w:p w:rsidR="00A7540B" w:rsidRDefault="00A7540B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  <w:color w:val="000000"/>
          <w:lang w:bidi="pl-PL"/>
        </w:rPr>
      </w:pPr>
    </w:p>
    <w:p w:rsidR="00A7540B" w:rsidRDefault="00D44974">
      <w:pPr>
        <w:tabs>
          <w:tab w:val="left" w:pos="0"/>
        </w:tabs>
        <w:spacing w:line="276" w:lineRule="auto"/>
        <w:ind w:left="57"/>
        <w:contextualSpacing/>
        <w:jc w:val="both"/>
        <w:rPr>
          <w:b/>
          <w:bCs/>
          <w:color w:val="000000"/>
          <w:lang w:bidi="pl-PL"/>
        </w:rPr>
      </w:pPr>
      <w:r>
        <w:rPr>
          <w:b/>
          <w:bCs/>
          <w:color w:val="000000"/>
          <w:lang w:bidi="pl-PL"/>
        </w:rPr>
        <w:t xml:space="preserve">9) tablica </w:t>
      </w:r>
      <w:proofErr w:type="spellStart"/>
      <w:r>
        <w:rPr>
          <w:b/>
          <w:bCs/>
          <w:color w:val="000000"/>
          <w:lang w:bidi="pl-PL"/>
        </w:rPr>
        <w:t>Snellena</w:t>
      </w:r>
      <w:proofErr w:type="spellEnd"/>
      <w:r>
        <w:rPr>
          <w:b/>
          <w:bCs/>
          <w:color w:val="000000"/>
          <w:lang w:bidi="pl-PL"/>
        </w:rPr>
        <w:t xml:space="preserve"> – 2 sztuki, o parametrach: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tablica posiada litery, lub cyfry, lub obrazki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zakres badania: tablica dostosowana do badania pacjenta z odległości 6 metrów od tablicy.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tablica będzie się składać z siedmiu rzędów obrazków,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tablica wykonana z PCV.</w:t>
      </w:r>
    </w:p>
    <w:p w:rsidR="00A7540B" w:rsidRDefault="00A7540B"/>
    <w:p w:rsidR="00A7540B" w:rsidRDefault="00D44974">
      <w:pPr>
        <w:tabs>
          <w:tab w:val="left" w:pos="1469"/>
        </w:tabs>
        <w:spacing w:line="276" w:lineRule="auto"/>
        <w:ind w:left="57"/>
        <w:contextualSpacing/>
        <w:jc w:val="both"/>
        <w:rPr>
          <w:b/>
          <w:bCs/>
        </w:rPr>
      </w:pPr>
      <w:r>
        <w:rPr>
          <w:b/>
          <w:bCs/>
          <w:color w:val="000000"/>
          <w:lang w:bidi="pl-PL"/>
        </w:rPr>
        <w:t>10) termometr bezdotykowy – 2 sztuki, o parametrach: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automatyczny pomiar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automatyczne wykrywanie odległości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kontrolka informująca o prawidłowym wykonaniu badania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wyświetlacz LCD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odliczanie czasu pomiaru na wyświetlaczu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 xml:space="preserve">- technologia </w:t>
      </w:r>
      <w:proofErr w:type="spellStart"/>
      <w:r>
        <w:rPr>
          <w:sz w:val="22"/>
          <w:szCs w:val="22"/>
        </w:rPr>
        <w:t>Silent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Glow</w:t>
      </w:r>
      <w:proofErr w:type="spellEnd"/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pamięć minimum 30 pomiarów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data i godzina na wyświetlaczu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bezrtęciowy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pomiar temperatury w °C a °F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 xml:space="preserve">- testowany klinicznie </w:t>
      </w:r>
    </w:p>
    <w:p w:rsidR="00A7540B" w:rsidRDefault="00A7540B">
      <w:pPr>
        <w:tabs>
          <w:tab w:val="left" w:pos="1469"/>
        </w:tabs>
        <w:spacing w:line="276" w:lineRule="auto"/>
        <w:ind w:left="57"/>
        <w:contextualSpacing/>
        <w:jc w:val="both"/>
        <w:rPr>
          <w:b/>
          <w:bCs/>
          <w:color w:val="000000"/>
          <w:lang w:bidi="pl-PL"/>
        </w:rPr>
      </w:pPr>
    </w:p>
    <w:p w:rsidR="00A7540B" w:rsidRDefault="00D44974">
      <w:pPr>
        <w:tabs>
          <w:tab w:val="left" w:pos="1469"/>
        </w:tabs>
        <w:spacing w:line="276" w:lineRule="auto"/>
        <w:ind w:left="57"/>
        <w:contextualSpacing/>
        <w:jc w:val="both"/>
        <w:rPr>
          <w:b/>
          <w:bCs/>
        </w:rPr>
      </w:pPr>
      <w:r>
        <w:rPr>
          <w:b/>
          <w:bCs/>
          <w:color w:val="000000"/>
          <w:lang w:bidi="pl-PL"/>
        </w:rPr>
        <w:t>11) elektroniczny stetoskop – 2 sztuki, o parametrach: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</w:rPr>
        <w:t>- służący do osłuchiwania pracy serca oraz płuc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  <w:lang w:eastAsia="pl-PL"/>
        </w:rPr>
        <w:t xml:space="preserve">- rodzaj stetoskopu -elektroniczny </w:t>
      </w:r>
    </w:p>
    <w:p w:rsidR="00A7540B" w:rsidRDefault="00D44974">
      <w:pPr>
        <w:ind w:left="283"/>
        <w:rPr>
          <w:sz w:val="20"/>
          <w:szCs w:val="20"/>
        </w:rPr>
      </w:pPr>
      <w:r>
        <w:rPr>
          <w:sz w:val="22"/>
          <w:szCs w:val="22"/>
          <w:lang w:eastAsia="pl-PL"/>
        </w:rPr>
        <w:t xml:space="preserve">- wykończenie głowicy stetoskopu - stal nierdzewna 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  <w:lang w:eastAsia="pl-PL"/>
        </w:rPr>
        <w:t xml:space="preserve">- technologia głowicy - dwustronna </w:t>
      </w:r>
    </w:p>
    <w:p w:rsidR="00A7540B" w:rsidRDefault="00D44974">
      <w:pPr>
        <w:ind w:left="283"/>
        <w:rPr>
          <w:sz w:val="22"/>
          <w:szCs w:val="22"/>
        </w:rPr>
      </w:pPr>
      <w:r>
        <w:rPr>
          <w:sz w:val="22"/>
          <w:szCs w:val="22"/>
          <w:lang w:eastAsia="pl-PL"/>
        </w:rPr>
        <w:t xml:space="preserve">- przewód (lira) - dwukanałowy </w:t>
      </w:r>
    </w:p>
    <w:p w:rsidR="00A7540B" w:rsidRDefault="00D44974">
      <w:pPr>
        <w:tabs>
          <w:tab w:val="left" w:pos="1469"/>
        </w:tabs>
        <w:spacing w:line="276" w:lineRule="auto"/>
        <w:ind w:left="283"/>
        <w:contextualSpacing/>
        <w:jc w:val="both"/>
        <w:rPr>
          <w:color w:val="000000"/>
          <w:sz w:val="20"/>
          <w:szCs w:val="20"/>
          <w:lang w:bidi="pl-PL"/>
        </w:rPr>
      </w:pPr>
      <w:r>
        <w:rPr>
          <w:color w:val="000000"/>
          <w:sz w:val="22"/>
          <w:szCs w:val="22"/>
          <w:lang w:eastAsia="pl-PL" w:bidi="pl-PL"/>
        </w:rPr>
        <w:t>- oliwki: miękkie, samouszczelniające się</w:t>
      </w:r>
      <w:bookmarkStart w:id="1" w:name="_GoBack_kopia_1"/>
      <w:bookmarkEnd w:id="1"/>
    </w:p>
    <w:sectPr w:rsidR="00A7540B" w:rsidSect="00E67F89">
      <w:pgSz w:w="11906" w:h="16838"/>
      <w:pgMar w:top="851" w:right="965" w:bottom="1417" w:left="1396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C85F84"/>
    <w:multiLevelType w:val="multilevel"/>
    <w:tmpl w:val="11400C6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position w:val="0"/>
        <w:sz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position w:val="0"/>
        <w:sz w:val="22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position w:val="0"/>
        <w:sz w:val="22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position w:val="0"/>
        <w:sz w:val="22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position w:val="0"/>
        <w:sz w:val="22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position w:val="0"/>
        <w:sz w:val="22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position w:val="0"/>
        <w:sz w:val="22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position w:val="0"/>
        <w:sz w:val="22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position w:val="0"/>
        <w:sz w:val="22"/>
        <w:vertAlign w:val="baseline"/>
      </w:rPr>
    </w:lvl>
  </w:abstractNum>
  <w:abstractNum w:abstractNumId="1" w15:restartNumberingAfterBreak="0">
    <w:nsid w:val="09524E9C"/>
    <w:multiLevelType w:val="multilevel"/>
    <w:tmpl w:val="0C6CC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2" w15:restartNumberingAfterBreak="0">
    <w:nsid w:val="10F66470"/>
    <w:multiLevelType w:val="multilevel"/>
    <w:tmpl w:val="D534D5D4"/>
    <w:lvl w:ilvl="0">
      <w:start w:val="1"/>
      <w:numFmt w:val="bullet"/>
      <w:lvlText w:val=""/>
      <w:lvlJc w:val="left"/>
      <w:pPr>
        <w:tabs>
          <w:tab w:val="num" w:pos="501"/>
        </w:tabs>
        <w:ind w:left="501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BF815EA"/>
    <w:multiLevelType w:val="multilevel"/>
    <w:tmpl w:val="F2D434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E2422F8"/>
    <w:multiLevelType w:val="hybridMultilevel"/>
    <w:tmpl w:val="EF844E0C"/>
    <w:lvl w:ilvl="0" w:tplc="1C88FD38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3F1A9E"/>
    <w:multiLevelType w:val="multilevel"/>
    <w:tmpl w:val="CA0A60F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autoHyphenation/>
  <w:hyphenationZone w:val="0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40B"/>
    <w:rsid w:val="0021726F"/>
    <w:rsid w:val="004972B2"/>
    <w:rsid w:val="00891520"/>
    <w:rsid w:val="00A7540B"/>
    <w:rsid w:val="00C22F3E"/>
    <w:rsid w:val="00D44974"/>
    <w:rsid w:val="00D7212D"/>
    <w:rsid w:val="00E67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294FD0-4EC3-4E56-9A27-05CCBBEA1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13A3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90757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90757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WW8Num36z0">
    <w:name w:val="WW8Num36z0"/>
    <w:qFormat/>
    <w:rPr>
      <w:b w:val="0"/>
      <w:bCs w:val="0"/>
    </w:rPr>
  </w:style>
  <w:style w:type="character" w:customStyle="1" w:styleId="Znakiwypunktowaniauser">
    <w:name w:val="Znaki wypunktowania (user)"/>
    <w:qFormat/>
    <w:rPr>
      <w:rFonts w:ascii="OpenSymbol" w:eastAsia="OpenSymbol" w:hAnsi="OpenSymbol" w:cs="OpenSymbol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907571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Lucida Sans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907571"/>
    <w:pPr>
      <w:tabs>
        <w:tab w:val="center" w:pos="4536"/>
        <w:tab w:val="right" w:pos="9072"/>
      </w:tabs>
    </w:pPr>
  </w:style>
  <w:style w:type="paragraph" w:customStyle="1" w:styleId="Zawartotabeliuser">
    <w:name w:val="Zawartość tabeli (user)"/>
    <w:basedOn w:val="Normalny"/>
    <w:qFormat/>
    <w:pPr>
      <w:widowControl w:val="0"/>
      <w:suppressLineNumbers/>
    </w:pPr>
  </w:style>
  <w:style w:type="paragraph" w:customStyle="1" w:styleId="Nagwektabeliuser">
    <w:name w:val="Nagłówek tabeli (user)"/>
    <w:basedOn w:val="Zawartotabeliuser"/>
    <w:qFormat/>
    <w:pPr>
      <w:jc w:val="center"/>
    </w:pPr>
    <w:rPr>
      <w:b/>
      <w:bCs/>
    </w:rPr>
  </w:style>
  <w:style w:type="paragraph" w:styleId="Akapitzlist">
    <w:name w:val="List Paragraph"/>
    <w:basedOn w:val="Normalny"/>
    <w:qFormat/>
    <w:pPr>
      <w:spacing w:after="160"/>
      <w:ind w:left="720"/>
      <w:contextualSpacing/>
    </w:pPr>
  </w:style>
  <w:style w:type="numbering" w:customStyle="1" w:styleId="Bezlistyuser">
    <w:name w:val="Bez listy (user)"/>
    <w:uiPriority w:val="99"/>
    <w:semiHidden/>
    <w:unhideWhenUsed/>
    <w:qFormat/>
  </w:style>
  <w:style w:type="numbering" w:customStyle="1" w:styleId="WW8Num36">
    <w:name w:val="WW8Num36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C6D06626.dotm</Template>
  <TotalTime>133</TotalTime>
  <Pages>6</Pages>
  <Words>1890</Words>
  <Characters>11344</Characters>
  <Application>Microsoft Office Word</Application>
  <DocSecurity>0</DocSecurity>
  <Lines>94</Lines>
  <Paragraphs>26</Paragraphs>
  <ScaleCrop>false</ScaleCrop>
  <Company/>
  <LinksUpToDate>false</LinksUpToDate>
  <CharactersWithSpaces>13208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Konto Microsoft</cp:lastModifiedBy>
  <cp:revision>46</cp:revision>
  <dcterms:created xsi:type="dcterms:W3CDTF">2026-01-29T12:29:00Z</dcterms:created>
  <dcterms:modified xsi:type="dcterms:W3CDTF">2026-02-16T10:28:00Z</dcterms:modified>
  <dc:language>pl-PL</dc:language>
</cp:coreProperties>
</file>