
<file path=[Content_Types].xml><?xml version="1.0" encoding="utf-8"?>
<Types xmlns="http://schemas.openxmlformats.org/package/2006/content-types">
  <Default ContentType="application/xml" Extension="xml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spacing w:after="60" w:before="60" w:lineRule="auto"/>
        <w:jc w:val="left"/>
        <w:rPr>
          <w:rFonts w:ascii="Times New Roman" w:cs="Times New Roman" w:eastAsia="Times New Roman" w:hAnsi="Times New Roman"/>
          <w:b w:val="1"/>
          <w:bCs w:val="1"/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sz w:val="20"/>
          <w:szCs w:val="20"/>
          <w:rtl w:val="0"/>
        </w:rPr>
        <w:t xml:space="preserve">Znak postępowania:</w:t>
      </w:r>
      <w:r w:rsidDel="00000000" w:rsidR="00000000" w:rsidRPr="00000000">
        <w:rPr>
          <w:rFonts w:ascii="Cambria" w:cs="Cambria" w:eastAsia="Cambria" w:hAnsi="Cambria"/>
          <w:b w:val="1"/>
          <w:bCs w:val="1"/>
          <w:color w:val="999999"/>
          <w:sz w:val="20"/>
          <w:szCs w:val="20"/>
          <w:rtl w:val="0"/>
        </w:rPr>
        <w:t xml:space="preserve">. CK-03/200-02/26</w:t>
      </w:r>
      <w:r w:rsidDel="00000000" w:rsidR="00000000" w:rsidRPr="00000000">
        <w:rPr>
          <w:rFonts w:ascii="Times New Roman" w:cs="Times New Roman" w:eastAsia="Times New Roman" w:hAnsi="Times New Roman"/>
          <w:sz w:val="20"/>
          <w:szCs w:val="20"/>
          <w:rtl w:val="0"/>
        </w:rPr>
        <w:tab/>
        <w:t xml:space="preserve"> </w:t>
        <w:tab/>
        <w:tab/>
        <w:tab/>
        <w:tab/>
        <w:tab/>
      </w: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sz w:val="20"/>
          <w:szCs w:val="20"/>
          <w:rtl w:val="0"/>
        </w:rPr>
        <w:t xml:space="preserve">Załącznik nr 11 do SWZ</w:t>
      </w:r>
    </w:p>
    <w:p w:rsidR="00000000" w:rsidDel="00000000" w:rsidP="00000000" w:rsidRDefault="00000000" w:rsidRPr="00000000" w14:paraId="00000002">
      <w:pPr>
        <w:spacing w:after="60" w:before="60" w:lineRule="auto"/>
        <w:jc w:val="left"/>
        <w:rPr>
          <w:rFonts w:ascii="Times New Roman" w:cs="Times New Roman" w:eastAsia="Times New Roman" w:hAnsi="Times New Roman"/>
          <w:b w:val="1"/>
          <w:bCs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60" w:before="60" w:lineRule="auto"/>
        <w:jc w:val="center"/>
        <w:rPr>
          <w:rFonts w:ascii="Times New Roman" w:cs="Times New Roman" w:eastAsia="Times New Roman" w:hAnsi="Times New Roman"/>
          <w:b w:val="1"/>
          <w:bCs w:val="1"/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sz w:val="20"/>
          <w:szCs w:val="20"/>
          <w:rtl w:val="0"/>
        </w:rPr>
        <w:t xml:space="preserve">KARTA GWARANCYJNA DO UMOWY Nr …………….</w:t>
      </w:r>
      <w:r w:rsidDel="00000000" w:rsidR="00000000" w:rsidRPr="00000000">
        <w:rPr>
          <w:rFonts w:ascii="Times New Roman" w:cs="Times New Roman" w:eastAsia="Times New Roman" w:hAnsi="Times New Roman"/>
          <w:sz w:val="20"/>
          <w:szCs w:val="20"/>
          <w:rtl w:val="0"/>
        </w:rPr>
        <w:t xml:space="preserve"> z</w:t>
      </w: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sz w:val="20"/>
          <w:szCs w:val="20"/>
          <w:rtl w:val="0"/>
        </w:rPr>
        <w:t xml:space="preserve"> dnia ………………… 2026 r.</w:t>
      </w:r>
    </w:p>
    <w:p w:rsidR="00000000" w:rsidDel="00000000" w:rsidP="00000000" w:rsidRDefault="00000000" w:rsidRPr="00000000" w14:paraId="00000004">
      <w:pPr>
        <w:spacing w:after="60" w:before="60" w:lineRule="auto"/>
        <w:jc w:val="both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sz w:val="20"/>
          <w:szCs w:val="20"/>
          <w:rtl w:val="0"/>
        </w:rPr>
        <w:t xml:space="preserve">Zadanie obejmujące roboty budowlane pn. “</w:t>
      </w:r>
      <w:r w:rsidDel="00000000" w:rsidR="00000000" w:rsidRPr="00000000">
        <w:rPr>
          <w:rFonts w:ascii="Cambria" w:cs="Cambria" w:eastAsia="Cambria" w:hAnsi="Cambria"/>
          <w:b w:val="1"/>
          <w:bCs w:val="1"/>
          <w:i w:val="1"/>
          <w:iCs w:val="1"/>
          <w:sz w:val="20"/>
          <w:szCs w:val="20"/>
          <w:rtl w:val="0"/>
        </w:rPr>
        <w:t xml:space="preserve">Budowa nowej windy w strefie widza w budynku C Opery Krakowskiej w Krakowie przy ul. Lubicz 48 w Krakowie</w:t>
      </w:r>
      <w:r w:rsidDel="00000000" w:rsidR="00000000" w:rsidRPr="00000000">
        <w:rPr>
          <w:rFonts w:ascii="Times New Roman" w:cs="Times New Roman" w:eastAsia="Times New Roman" w:hAnsi="Times New Roman"/>
          <w:sz w:val="20"/>
          <w:szCs w:val="20"/>
          <w:rtl w:val="0"/>
        </w:rPr>
        <w:t xml:space="preserve">”. </w:t>
      </w:r>
    </w:p>
    <w:p w:rsidR="00000000" w:rsidDel="00000000" w:rsidP="00000000" w:rsidRDefault="00000000" w:rsidRPr="00000000" w14:paraId="0000000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60" w:before="60" w:line="276" w:lineRule="auto"/>
        <w:ind w:left="0" w:right="0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GWARANTEM jest:</w:t>
      </w:r>
    </w:p>
    <w:p w:rsidR="00000000" w:rsidDel="00000000" w:rsidP="00000000" w:rsidRDefault="00000000" w:rsidRPr="00000000" w14:paraId="00000006">
      <w:pPr>
        <w:widowControl w:val="0"/>
        <w:spacing w:after="240" w:before="240" w:line="360" w:lineRule="auto"/>
        <w:jc w:val="both"/>
        <w:rPr>
          <w:rFonts w:ascii="Times New Roman" w:cs="Times New Roman" w:eastAsia="Times New Roman" w:hAnsi="Times New Roman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sz w:val="20"/>
          <w:szCs w:val="20"/>
          <w:rtl w:val="0"/>
        </w:rPr>
        <w:t xml:space="preserve">……………….</w:t>
      </w:r>
      <w:r w:rsidDel="00000000" w:rsidR="00000000" w:rsidRPr="00000000">
        <w:rPr>
          <w:rFonts w:ascii="Times New Roman" w:cs="Times New Roman" w:eastAsia="Times New Roman" w:hAnsi="Times New Roman"/>
          <w:sz w:val="20"/>
          <w:szCs w:val="20"/>
          <w:rtl w:val="0"/>
        </w:rPr>
        <w:t xml:space="preserve"> z siedzibą: ……………….; NIP: ……………………;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60" w:before="60" w:line="276" w:lineRule="auto"/>
        <w:ind w:left="0" w:right="0" w:firstLine="0"/>
        <w:jc w:val="both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będącymi Wykonawcą zadania pn. </w:t>
      </w:r>
      <w:r w:rsidDel="00000000" w:rsidR="00000000" w:rsidRPr="00000000">
        <w:rPr>
          <w:rFonts w:ascii="Times New Roman" w:cs="Times New Roman" w:eastAsia="Times New Roman" w:hAnsi="Times New Roman"/>
          <w:sz w:val="20"/>
          <w:szCs w:val="20"/>
          <w:rtl w:val="0"/>
        </w:rPr>
        <w:t xml:space="preserve">„</w:t>
      </w:r>
      <w:r w:rsidDel="00000000" w:rsidR="00000000" w:rsidRPr="00000000">
        <w:rPr>
          <w:rFonts w:ascii="Times New Roman" w:cs="Times New Roman" w:eastAsia="Times New Roman" w:hAnsi="Times New Roman"/>
          <w:sz w:val="20"/>
          <w:szCs w:val="20"/>
          <w:rtl w:val="0"/>
        </w:rPr>
        <w:t xml:space="preserve">Budowa nowej windy w strefie widza w budynku C Opery Krakowskiej w Krakowie przy ul. Lubicz 48 w Krakowie, znak postępowania: CK-03/200-02/26 w obiekcie Opery Krakowskiej w Krakowie</w:t>
      </w: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.</w:t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60" w:before="60" w:line="276" w:lineRule="auto"/>
        <w:ind w:left="0" w:right="0" w:firstLine="0"/>
        <w:jc w:val="both"/>
        <w:rPr>
          <w:rFonts w:ascii="Times New Roman" w:cs="Times New Roman" w:eastAsia="Times New Roman" w:hAnsi="Times New Roman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Uprawnionym z tytułu gwarancji jest Opera Krakowska w Krakowie, z siedzibą w Krakowie przy ul. Lubicz 48, 31-512 Kraków, NIP: 6750006174; REGON: 000278801, zwana dalej „Zamawiającym”</w:t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60" w:before="60" w:line="276" w:lineRule="auto"/>
        <w:ind w:left="0" w:right="0" w:firstLine="0"/>
        <w:jc w:val="center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§ 1</w:t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1"/>
        <w:numPr>
          <w:ilvl w:val="0"/>
          <w:numId w:val="7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60" w:before="60" w:line="276" w:lineRule="auto"/>
        <w:ind w:left="360" w:right="0" w:hanging="360"/>
        <w:jc w:val="both"/>
        <w:rPr>
          <w:rFonts w:ascii="Times New Roman" w:cs="Times New Roman" w:eastAsia="Times New Roman" w:hAnsi="Times New Roman"/>
          <w:i w:val="0"/>
          <w:iCs w:val="0"/>
          <w:smallCaps w:val="0"/>
          <w:strike w:val="0"/>
          <w:color w:val="000000"/>
          <w:sz w:val="20"/>
          <w:szCs w:val="20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Niniejszym Gwarant udziela gwarancji jakości dla zadania pn.: </w:t>
      </w:r>
      <w:r w:rsidDel="00000000" w:rsidR="00000000" w:rsidRPr="00000000">
        <w:rPr>
          <w:rFonts w:ascii="Times New Roman" w:cs="Times New Roman" w:eastAsia="Times New Roman" w:hAnsi="Times New Roman"/>
          <w:sz w:val="20"/>
          <w:szCs w:val="20"/>
          <w:rtl w:val="0"/>
        </w:rPr>
        <w:t xml:space="preserve">“</w:t>
      </w:r>
      <w:r w:rsidDel="00000000" w:rsidR="00000000" w:rsidRPr="00000000">
        <w:rPr>
          <w:rFonts w:ascii="Cambria" w:cs="Cambria" w:eastAsia="Cambria" w:hAnsi="Cambria"/>
          <w:b w:val="1"/>
          <w:bCs w:val="1"/>
          <w:i w:val="1"/>
          <w:iCs w:val="1"/>
          <w:sz w:val="20"/>
          <w:szCs w:val="20"/>
          <w:rtl w:val="0"/>
        </w:rPr>
        <w:t xml:space="preserve">Budowa nowej windy w strefie widza w budynku C Opery Krakowskiej w Krakowie przy ul. Lubicz 48 w Krakowie</w:t>
      </w: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1"/>
          <w:iCs w:val="1"/>
          <w:sz w:val="20"/>
          <w:szCs w:val="20"/>
          <w:rtl w:val="0"/>
        </w:rPr>
        <w:t xml:space="preserve">, znak postępowania: CK-03/200-02/26</w:t>
      </w:r>
      <w:r w:rsidDel="00000000" w:rsidR="00000000" w:rsidRPr="00000000">
        <w:rPr>
          <w:rFonts w:ascii="Times New Roman" w:cs="Times New Roman" w:eastAsia="Times New Roman" w:hAnsi="Times New Roman"/>
          <w:sz w:val="20"/>
          <w:szCs w:val="20"/>
          <w:rtl w:val="0"/>
        </w:rPr>
        <w:t xml:space="preserve">” w obiekcie Opery Krakowskiej w Krakowie</w:t>
      </w:r>
      <w:r w:rsidDel="00000000" w:rsidR="00000000" w:rsidRPr="00000000">
        <w:rPr>
          <w:rFonts w:ascii="Times New Roman" w:cs="Times New Roman" w:eastAsia="Times New Roman" w:hAnsi="Times New Roman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określonego w § 1 umowy nr </w:t>
      </w:r>
      <w:r w:rsidDel="00000000" w:rsidR="00000000" w:rsidRPr="00000000">
        <w:rPr>
          <w:rFonts w:ascii="Times New Roman" w:cs="Times New Roman" w:eastAsia="Times New Roman" w:hAnsi="Times New Roman"/>
          <w:sz w:val="20"/>
          <w:szCs w:val="20"/>
          <w:rtl w:val="0"/>
        </w:rPr>
        <w:t xml:space="preserve">……………</w:t>
      </w:r>
      <w:r w:rsidDel="00000000" w:rsidR="00000000" w:rsidRPr="00000000">
        <w:rPr>
          <w:rFonts w:ascii="Times New Roman" w:cs="Times New Roman" w:eastAsia="Times New Roman" w:hAnsi="Times New Roman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z dnia </w:t>
      </w:r>
      <w:r w:rsidDel="00000000" w:rsidR="00000000" w:rsidRPr="00000000">
        <w:rPr>
          <w:rFonts w:ascii="Times New Roman" w:cs="Times New Roman" w:eastAsia="Times New Roman" w:hAnsi="Times New Roman"/>
          <w:sz w:val="20"/>
          <w:szCs w:val="20"/>
          <w:rtl w:val="0"/>
        </w:rPr>
        <w:t xml:space="preserve">…………………2026</w:t>
      </w:r>
      <w:r w:rsidDel="00000000" w:rsidR="00000000" w:rsidRPr="00000000">
        <w:rPr>
          <w:rFonts w:ascii="Times New Roman" w:cs="Times New Roman" w:eastAsia="Times New Roman" w:hAnsi="Times New Roman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r.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numPr>
          <w:ilvl w:val="0"/>
          <w:numId w:val="7"/>
        </w:numPr>
        <w:spacing w:after="60" w:before="60" w:lineRule="auto"/>
        <w:ind w:left="360" w:hanging="360"/>
        <w:jc w:val="both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sz w:val="20"/>
          <w:szCs w:val="20"/>
          <w:rtl w:val="0"/>
        </w:rPr>
        <w:t xml:space="preserve">Gwarant oświadcza, iż wykonane przez niego prace budowlane, w tym wykorzystane w nich materiały i urządzenia są wolne od wad fizycznych i prawnych, w tym zgodne z ww. umową i zgodne z mającymi zastosowanie normami i przepisami prawa polskiego.</w:t>
      </w:r>
    </w:p>
    <w:p w:rsidR="00000000" w:rsidDel="00000000" w:rsidP="00000000" w:rsidRDefault="00000000" w:rsidRPr="00000000" w14:paraId="0000000C">
      <w:pPr>
        <w:keepNext w:val="0"/>
        <w:keepLines w:val="0"/>
        <w:pageBreakBefore w:val="0"/>
        <w:widowControl w:val="1"/>
        <w:numPr>
          <w:ilvl w:val="0"/>
          <w:numId w:val="7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60" w:before="60" w:line="276" w:lineRule="auto"/>
        <w:ind w:left="360" w:right="0" w:hanging="360"/>
        <w:jc w:val="both"/>
        <w:rPr>
          <w:rFonts w:ascii="Times New Roman" w:cs="Times New Roman" w:eastAsia="Times New Roman" w:hAnsi="Times New Roman"/>
          <w:i w:val="0"/>
          <w:iCs w:val="0"/>
          <w:smallCaps w:val="0"/>
          <w:strike w:val="0"/>
          <w:color w:val="000000"/>
          <w:sz w:val="20"/>
          <w:szCs w:val="20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Gwarant odpowiada wobec Zamawiającego z tytułu niniejszej Gwarancji za cały przedmiot zadania, w tym także za części realizowane przez podwykonawców. Gwarant jest odpowiedzialny wobec Zamawiającego za </w:t>
      </w:r>
      <w:r w:rsidDel="00000000" w:rsidR="00000000" w:rsidRPr="00000000">
        <w:rPr>
          <w:rFonts w:ascii="Times New Roman" w:cs="Times New Roman" w:eastAsia="Times New Roman" w:hAnsi="Times New Roman"/>
          <w:sz w:val="20"/>
          <w:szCs w:val="20"/>
          <w:rtl w:val="0"/>
        </w:rPr>
        <w:t xml:space="preserve">realizację</w:t>
      </w:r>
      <w:r w:rsidDel="00000000" w:rsidR="00000000" w:rsidRPr="00000000">
        <w:rPr>
          <w:rFonts w:ascii="Times New Roman" w:cs="Times New Roman" w:eastAsia="Times New Roman" w:hAnsi="Times New Roman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wszystkich zobowiązań, o których mowa w § 2 niniejszej Karty Gwarancyjnej 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keepNext w:val="0"/>
        <w:keepLines w:val="0"/>
        <w:pageBreakBefore w:val="0"/>
        <w:widowControl w:val="1"/>
        <w:numPr>
          <w:ilvl w:val="0"/>
          <w:numId w:val="7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60" w:before="60" w:line="276" w:lineRule="auto"/>
        <w:ind w:left="360" w:right="0" w:hanging="360"/>
        <w:jc w:val="both"/>
        <w:rPr>
          <w:rFonts w:ascii="Times New Roman" w:cs="Times New Roman" w:eastAsia="Times New Roman" w:hAnsi="Times New Roman"/>
          <w:i w:val="0"/>
          <w:iCs w:val="0"/>
          <w:smallCaps w:val="0"/>
          <w:strike w:val="0"/>
          <w:color w:val="000000"/>
          <w:sz w:val="20"/>
          <w:szCs w:val="20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Termin gwarancji jakości wynosi </w:t>
      </w:r>
      <w:r w:rsidDel="00000000" w:rsidR="00000000" w:rsidRPr="00000000">
        <w:rPr>
          <w:rFonts w:ascii="Times New Roman" w:cs="Times New Roman" w:eastAsia="Times New Roman" w:hAnsi="Times New Roman"/>
          <w:sz w:val="20"/>
          <w:szCs w:val="20"/>
          <w:rtl w:val="0"/>
        </w:rPr>
        <w:t xml:space="preserve">………………… </w:t>
      </w:r>
      <w:r w:rsidDel="00000000" w:rsidR="00000000" w:rsidRPr="00000000">
        <w:rPr>
          <w:rFonts w:ascii="Times New Roman" w:cs="Times New Roman" w:eastAsia="Times New Roman" w:hAnsi="Times New Roman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miesięcy licząc od momentu odbioru końcowego robót zrealizowanych na podstawie ww. umowy, tj.: do dnia </w:t>
      </w:r>
      <w:r w:rsidDel="00000000" w:rsidR="00000000" w:rsidRPr="00000000">
        <w:rPr>
          <w:rFonts w:ascii="Times New Roman" w:cs="Times New Roman" w:eastAsia="Times New Roman" w:hAnsi="Times New Roman"/>
          <w:sz w:val="20"/>
          <w:szCs w:val="20"/>
          <w:rtl w:val="0"/>
        </w:rPr>
        <w:t xml:space="preserve">……………………….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keepNext w:val="0"/>
        <w:keepLines w:val="0"/>
        <w:pageBreakBefore w:val="0"/>
        <w:widowControl w:val="1"/>
        <w:numPr>
          <w:ilvl w:val="0"/>
          <w:numId w:val="7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60" w:before="60" w:line="276" w:lineRule="auto"/>
        <w:ind w:left="360" w:right="0" w:hanging="360"/>
        <w:jc w:val="both"/>
        <w:rPr>
          <w:rFonts w:ascii="Times New Roman" w:cs="Times New Roman" w:eastAsia="Times New Roman" w:hAnsi="Times New Roman"/>
          <w:i w:val="0"/>
          <w:iCs w:val="0"/>
          <w:smallCaps w:val="0"/>
          <w:strike w:val="0"/>
          <w:color w:val="000000"/>
          <w:sz w:val="20"/>
          <w:szCs w:val="20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Ilekroć w niniejszej Karcie Gwarancyjnej jest mowa o wadzie należy przez to rozumieć wadę w rozumieniu Kodeksu Cywilnego.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60" w:before="60" w:line="276" w:lineRule="auto"/>
        <w:ind w:left="0" w:right="0" w:firstLine="0"/>
        <w:jc w:val="center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§ 2</w:t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1"/>
        <w:numPr>
          <w:ilvl w:val="0"/>
          <w:numId w:val="8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60" w:before="60" w:line="276" w:lineRule="auto"/>
        <w:ind w:left="360" w:right="0" w:hanging="360"/>
        <w:jc w:val="both"/>
        <w:rPr>
          <w:rFonts w:ascii="Times New Roman" w:cs="Times New Roman" w:eastAsia="Times New Roman" w:hAnsi="Times New Roman"/>
          <w:i w:val="0"/>
          <w:iCs w:val="0"/>
          <w:smallCaps w:val="0"/>
          <w:strike w:val="0"/>
          <w:color w:val="000000"/>
          <w:sz w:val="20"/>
          <w:szCs w:val="20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W przypadku wystąpienia jakiejkolwiek wady w przedmiocie zadania Zamawiający uprawniony jest do: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1"/>
        <w:numPr>
          <w:ilvl w:val="0"/>
          <w:numId w:val="9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60" w:before="60" w:line="276" w:lineRule="auto"/>
        <w:ind w:left="720" w:right="0" w:hanging="360"/>
        <w:jc w:val="both"/>
        <w:rPr>
          <w:rFonts w:ascii="Times New Roman" w:cs="Times New Roman" w:eastAsia="Times New Roman" w:hAnsi="Times New Roman"/>
          <w:i w:val="0"/>
          <w:iCs w:val="0"/>
          <w:smallCaps w:val="0"/>
          <w:strike w:val="0"/>
          <w:color w:val="000000"/>
          <w:sz w:val="20"/>
          <w:szCs w:val="20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żądania usunięcia wady przedmiotu ww. umowy poprzez naprawę lub wymianę na nowy, obniżenia ceny, odstąpienia od umowy.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keepNext w:val="0"/>
        <w:keepLines w:val="0"/>
        <w:pageBreakBefore w:val="0"/>
        <w:widowControl w:val="1"/>
        <w:numPr>
          <w:ilvl w:val="0"/>
          <w:numId w:val="9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60" w:before="60" w:line="276" w:lineRule="auto"/>
        <w:ind w:left="720" w:right="0" w:hanging="360"/>
        <w:jc w:val="both"/>
        <w:rPr>
          <w:rFonts w:ascii="Times New Roman" w:cs="Times New Roman" w:eastAsia="Times New Roman" w:hAnsi="Times New Roman"/>
          <w:i w:val="0"/>
          <w:iCs w:val="0"/>
          <w:smallCaps w:val="0"/>
          <w:strike w:val="0"/>
          <w:color w:val="000000"/>
          <w:sz w:val="20"/>
          <w:szCs w:val="20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żądania zapłaty wynikających z ww. umowy kar umownych i pokrycia pełnej szkody wynikającej z faktu zaistnienia wady, w tym do zapłaty odszkodowania (obejmującego zarówno poniesione straty, jak i utracone korzyści jakich doznał Zamawiający lub osoby trzecie) na skutek wystąpienia wad.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60" w:before="60" w:line="276" w:lineRule="auto"/>
        <w:ind w:left="0" w:right="0" w:firstLine="0"/>
        <w:jc w:val="center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§ 3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keepNext w:val="0"/>
        <w:keepLines w:val="0"/>
        <w:pageBreakBefore w:val="0"/>
        <w:widowControl w:val="1"/>
        <w:numPr>
          <w:ilvl w:val="0"/>
          <w:numId w:val="10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60" w:before="60" w:line="276" w:lineRule="auto"/>
        <w:ind w:left="360" w:right="0" w:hanging="360"/>
        <w:jc w:val="both"/>
        <w:rPr>
          <w:rFonts w:ascii="Times New Roman" w:cs="Times New Roman" w:eastAsia="Times New Roman" w:hAnsi="Times New Roman"/>
          <w:i w:val="0"/>
          <w:iCs w:val="0"/>
          <w:smallCaps w:val="0"/>
          <w:strike w:val="0"/>
          <w:color w:val="000000"/>
          <w:sz w:val="20"/>
          <w:szCs w:val="20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sz w:val="20"/>
          <w:szCs w:val="20"/>
          <w:rtl w:val="0"/>
        </w:rPr>
        <w:t xml:space="preserve">Gwarant</w:t>
      </w:r>
      <w:r w:rsidDel="00000000" w:rsidR="00000000" w:rsidRPr="00000000">
        <w:rPr>
          <w:rFonts w:ascii="Times New Roman" w:cs="Times New Roman" w:eastAsia="Times New Roman" w:hAnsi="Times New Roman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w okresie trwania gwarancji </w:t>
      </w:r>
      <w:r w:rsidDel="00000000" w:rsidR="00000000" w:rsidRPr="00000000">
        <w:rPr>
          <w:rFonts w:ascii="Times New Roman" w:cs="Times New Roman" w:eastAsia="Times New Roman" w:hAnsi="Times New Roman"/>
          <w:sz w:val="20"/>
          <w:szCs w:val="20"/>
          <w:rtl w:val="0"/>
        </w:rPr>
        <w:t xml:space="preserve">zobowiązany</w:t>
      </w:r>
      <w:r w:rsidDel="00000000" w:rsidR="00000000" w:rsidRPr="00000000">
        <w:rPr>
          <w:rFonts w:ascii="Times New Roman" w:cs="Times New Roman" w:eastAsia="Times New Roman" w:hAnsi="Times New Roman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jest do </w:t>
      </w:r>
      <w:r w:rsidDel="00000000" w:rsidR="00000000" w:rsidRPr="00000000">
        <w:rPr>
          <w:rFonts w:ascii="Times New Roman" w:cs="Times New Roman" w:eastAsia="Times New Roman" w:hAnsi="Times New Roman"/>
          <w:sz w:val="20"/>
          <w:szCs w:val="20"/>
          <w:rtl w:val="0"/>
        </w:rPr>
        <w:t xml:space="preserve">dokonywania comiesięcznie, </w:t>
      </w:r>
      <w:r w:rsidDel="00000000" w:rsidR="00000000" w:rsidRPr="00000000">
        <w:rPr>
          <w:rFonts w:ascii="Times New Roman" w:cs="Times New Roman" w:eastAsia="Times New Roman" w:hAnsi="Times New Roman"/>
          <w:color w:val="1f1f1f"/>
          <w:sz w:val="20"/>
          <w:szCs w:val="20"/>
          <w:highlight w:val="white"/>
          <w:rtl w:val="0"/>
        </w:rPr>
        <w:t xml:space="preserve">w ramach wynagrodzenia umownego,</w:t>
      </w:r>
      <w:r w:rsidDel="00000000" w:rsidR="00000000" w:rsidRPr="00000000">
        <w:rPr>
          <w:rFonts w:ascii="Times New Roman" w:cs="Times New Roman" w:eastAsia="Times New Roman" w:hAnsi="Times New Roman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przeglądu gwarancyjnego w celu potwierdzenia należytego stanu przedmiotu ww. umowy.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keepNext w:val="0"/>
        <w:keepLines w:val="0"/>
        <w:pageBreakBefore w:val="0"/>
        <w:widowControl w:val="1"/>
        <w:numPr>
          <w:ilvl w:val="0"/>
          <w:numId w:val="10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60" w:before="60" w:line="276" w:lineRule="auto"/>
        <w:ind w:left="360" w:right="0" w:hanging="360"/>
        <w:jc w:val="both"/>
        <w:rPr>
          <w:rFonts w:ascii="Times New Roman" w:cs="Times New Roman" w:eastAsia="Times New Roman" w:hAnsi="Times New Roman"/>
          <w:i w:val="0"/>
          <w:iCs w:val="0"/>
          <w:smallCaps w:val="0"/>
          <w:strike w:val="0"/>
          <w:color w:val="000000"/>
          <w:sz w:val="20"/>
          <w:szCs w:val="20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Datę</w:t>
      </w:r>
      <w:r w:rsidDel="00000000" w:rsidR="00000000" w:rsidRPr="00000000">
        <w:rPr>
          <w:rFonts w:ascii="Times New Roman" w:cs="Times New Roman" w:eastAsia="Times New Roman" w:hAnsi="Times New Roman"/>
          <w:sz w:val="20"/>
          <w:szCs w:val="20"/>
          <w:rtl w:val="0"/>
        </w:rPr>
        <w:t xml:space="preserve"> i</w:t>
      </w:r>
      <w:r w:rsidDel="00000000" w:rsidR="00000000" w:rsidRPr="00000000">
        <w:rPr>
          <w:rFonts w:ascii="Times New Roman" w:cs="Times New Roman" w:eastAsia="Times New Roman" w:hAnsi="Times New Roman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godzinę dokonania przeglądu gwarancyjnego </w:t>
      </w:r>
      <w:r w:rsidDel="00000000" w:rsidR="00000000" w:rsidRPr="00000000">
        <w:rPr>
          <w:rFonts w:ascii="Times New Roman" w:cs="Times New Roman" w:eastAsia="Times New Roman" w:hAnsi="Times New Roman"/>
          <w:sz w:val="20"/>
          <w:szCs w:val="20"/>
          <w:rtl w:val="0"/>
        </w:rPr>
        <w:t xml:space="preserve">Strony ustalą w porozumieniu</w:t>
      </w:r>
      <w:r w:rsidDel="00000000" w:rsidR="00000000" w:rsidRPr="00000000">
        <w:rPr>
          <w:rFonts w:ascii="Times New Roman" w:cs="Times New Roman" w:eastAsia="Times New Roman" w:hAnsi="Times New Roman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keepNext w:val="0"/>
        <w:keepLines w:val="0"/>
        <w:pageBreakBefore w:val="0"/>
        <w:widowControl w:val="1"/>
        <w:numPr>
          <w:ilvl w:val="0"/>
          <w:numId w:val="10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60" w:before="60" w:line="276" w:lineRule="auto"/>
        <w:ind w:left="360" w:right="0" w:hanging="360"/>
        <w:jc w:val="both"/>
        <w:rPr>
          <w:rFonts w:ascii="Times New Roman" w:cs="Times New Roman" w:eastAsia="Times New Roman" w:hAnsi="Times New Roman"/>
          <w:i w:val="0"/>
          <w:iCs w:val="0"/>
          <w:smallCaps w:val="0"/>
          <w:strike w:val="0"/>
          <w:color w:val="000000"/>
          <w:sz w:val="20"/>
          <w:szCs w:val="20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W skład komisji przeglądowej będą wchodziły osoby wyznaczone przez Zamawiającego oraz osoby wyznaczone przez Gwaranta.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keepNext w:val="0"/>
        <w:keepLines w:val="0"/>
        <w:pageBreakBefore w:val="0"/>
        <w:widowControl w:val="1"/>
        <w:numPr>
          <w:ilvl w:val="0"/>
          <w:numId w:val="10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60" w:before="60" w:line="276" w:lineRule="auto"/>
        <w:ind w:left="360" w:right="0" w:hanging="360"/>
        <w:jc w:val="both"/>
        <w:rPr>
          <w:rFonts w:ascii="Times New Roman" w:cs="Times New Roman" w:eastAsia="Times New Roman" w:hAnsi="Times New Roman"/>
          <w:i w:val="0"/>
          <w:iCs w:val="0"/>
          <w:smallCaps w:val="0"/>
          <w:strike w:val="0"/>
          <w:color w:val="000000"/>
          <w:sz w:val="20"/>
          <w:szCs w:val="20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Z każdego przeglądu gwarancyjnego sporządza się szczegółowy protokół przeglądu gwarancyjnego, w co najmniej dwóch egzemplarzach, po jednym dla Zamawiającego i dla Gwaranta.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keepNext w:val="0"/>
        <w:keepLines w:val="0"/>
        <w:pageBreakBefore w:val="0"/>
        <w:widowControl w:val="1"/>
        <w:numPr>
          <w:ilvl w:val="0"/>
          <w:numId w:val="10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60" w:before="60" w:line="276" w:lineRule="auto"/>
        <w:ind w:left="360" w:right="0" w:hanging="360"/>
        <w:jc w:val="both"/>
        <w:rPr>
          <w:rFonts w:ascii="Times New Roman" w:cs="Times New Roman" w:eastAsia="Times New Roman" w:hAnsi="Times New Roman"/>
          <w:i w:val="0"/>
          <w:iCs w:val="0"/>
          <w:smallCaps w:val="0"/>
          <w:strike w:val="0"/>
          <w:color w:val="000000"/>
          <w:sz w:val="20"/>
          <w:szCs w:val="20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Przegląd gwarancyjny nie podlega dodatkowej opłacie.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60" w:before="60" w:line="276" w:lineRule="auto"/>
        <w:ind w:left="0" w:right="0" w:firstLine="0"/>
        <w:jc w:val="center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§ 4</w:t>
      </w:r>
    </w:p>
    <w:p w:rsidR="00000000" w:rsidDel="00000000" w:rsidP="00000000" w:rsidRDefault="00000000" w:rsidRPr="00000000" w14:paraId="0000001A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60" w:before="60" w:line="276" w:lineRule="auto"/>
        <w:ind w:left="360" w:right="0" w:hanging="360"/>
        <w:jc w:val="both"/>
        <w:rPr>
          <w:rFonts w:ascii="Times New Roman" w:cs="Times New Roman" w:eastAsia="Times New Roman" w:hAnsi="Times New Roman"/>
          <w:i w:val="0"/>
          <w:iCs w:val="0"/>
          <w:smallCaps w:val="0"/>
          <w:strike w:val="0"/>
          <w:color w:val="000000"/>
          <w:sz w:val="20"/>
          <w:szCs w:val="20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Zgłoszenie reklamacyjne wady dokonywane jest w formie pisemnej na wskazany w ww. umowie adres siedziby Gwaranta lub e-mailem na adres:……………. Nieodebranie albo odmowa odebrania listu poleconego lub korespondencji e-mail będzie traktowane równoważnie z jego doręczeniem.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60" w:before="60" w:line="276" w:lineRule="auto"/>
        <w:ind w:left="360" w:right="0" w:hanging="360"/>
        <w:jc w:val="both"/>
        <w:rPr>
          <w:rFonts w:ascii="Times New Roman" w:cs="Times New Roman" w:eastAsia="Times New Roman" w:hAnsi="Times New Roman"/>
          <w:i w:val="0"/>
          <w:iCs w:val="0"/>
          <w:smallCaps w:val="0"/>
          <w:strike w:val="0"/>
          <w:color w:val="000000"/>
          <w:sz w:val="20"/>
          <w:szCs w:val="20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W zgłoszeniu Zamawiający określa tryb w jakim wada ma zostać usunięta.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60" w:before="60" w:line="276" w:lineRule="auto"/>
        <w:ind w:left="0" w:right="0" w:firstLine="0"/>
        <w:jc w:val="center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60" w:before="60" w:line="276" w:lineRule="auto"/>
        <w:ind w:left="0" w:right="0" w:firstLine="0"/>
        <w:jc w:val="center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§ 5</w:t>
      </w:r>
    </w:p>
    <w:p w:rsidR="00000000" w:rsidDel="00000000" w:rsidP="00000000" w:rsidRDefault="00000000" w:rsidRPr="00000000" w14:paraId="0000001E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60" w:before="60" w:line="276" w:lineRule="auto"/>
        <w:ind w:left="360" w:right="0" w:hanging="360"/>
        <w:jc w:val="both"/>
        <w:rPr>
          <w:rFonts w:ascii="Times New Roman" w:cs="Times New Roman" w:eastAsia="Times New Roman" w:hAnsi="Times New Roman"/>
          <w:i w:val="0"/>
          <w:iCs w:val="0"/>
          <w:smallCaps w:val="0"/>
          <w:strike w:val="0"/>
          <w:color w:val="000000"/>
          <w:sz w:val="20"/>
          <w:szCs w:val="20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Wady będą usuwane w trybie zwykłym i awaryjnym.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60" w:before="60" w:line="276" w:lineRule="auto"/>
        <w:ind w:left="360" w:right="0" w:hanging="360"/>
        <w:jc w:val="both"/>
        <w:rPr>
          <w:rFonts w:ascii="Times New Roman" w:cs="Times New Roman" w:eastAsia="Times New Roman" w:hAnsi="Times New Roman"/>
          <w:i w:val="0"/>
          <w:iCs w:val="0"/>
          <w:smallCaps w:val="0"/>
          <w:strike w:val="0"/>
          <w:color w:val="000000"/>
          <w:sz w:val="20"/>
          <w:szCs w:val="20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W trybie awaryjnym usuwane będą wady, które ograniczają lub uniemożliwiają działanie części lub całości wykonanego przez Gwaranta przedmiotu ww. umowy lub gdy ujawniona wada może skutkować albo skutkuje: zagrożeniem dla życia lub zdrowia ludzi, zanieczyszczeniem środowiska, wystąpieniem szkody dla Zamawiającego lub osób trzecich.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60" w:before="60" w:line="276" w:lineRule="auto"/>
        <w:ind w:left="360" w:right="0" w:hanging="360"/>
        <w:jc w:val="both"/>
        <w:rPr>
          <w:rFonts w:ascii="Times New Roman" w:cs="Times New Roman" w:eastAsia="Times New Roman" w:hAnsi="Times New Roman"/>
          <w:i w:val="0"/>
          <w:iCs w:val="0"/>
          <w:smallCaps w:val="0"/>
          <w:strike w:val="0"/>
          <w:color w:val="000000"/>
          <w:sz w:val="20"/>
          <w:szCs w:val="20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Gwarant zobowiązuje się: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keepNext w:val="0"/>
        <w:keepLines w:val="0"/>
        <w:pageBreakBefore w:val="0"/>
        <w:widowControl w:val="0"/>
        <w:numPr>
          <w:ilvl w:val="0"/>
          <w:numId w:val="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60" w:before="60" w:line="276" w:lineRule="auto"/>
        <w:ind w:left="1069" w:right="0" w:hanging="360"/>
        <w:jc w:val="both"/>
        <w:rPr>
          <w:rFonts w:ascii="Times New Roman" w:cs="Times New Roman" w:eastAsia="Times New Roman" w:hAnsi="Times New Roman"/>
          <w:i w:val="0"/>
          <w:iCs w:val="0"/>
          <w:smallCaps w:val="0"/>
          <w:strike w:val="0"/>
          <w:color w:val="000000"/>
          <w:sz w:val="20"/>
          <w:szCs w:val="20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w trybie zwykłym – do niezwłocznego, lecz nie później niż w terminie 3 dni od pisemnego zgłoszenia przez Zamawiającego, przystąpienia do usunięcia wad,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keepNext w:val="0"/>
        <w:keepLines w:val="0"/>
        <w:pageBreakBefore w:val="0"/>
        <w:widowControl w:val="0"/>
        <w:numPr>
          <w:ilvl w:val="0"/>
          <w:numId w:val="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60" w:before="60" w:line="276" w:lineRule="auto"/>
        <w:ind w:left="1069" w:right="0" w:hanging="360"/>
        <w:jc w:val="both"/>
        <w:rPr>
          <w:rFonts w:ascii="Times New Roman" w:cs="Times New Roman" w:eastAsia="Times New Roman" w:hAnsi="Times New Roman"/>
          <w:i w:val="0"/>
          <w:iCs w:val="0"/>
          <w:smallCaps w:val="0"/>
          <w:strike w:val="0"/>
          <w:color w:val="000000"/>
          <w:sz w:val="20"/>
          <w:szCs w:val="20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w trybie awaryjnym zwykłym – do niezwłocznego, lecz nie później niż w terminie 1 dnia od pisemnego zgłoszenia przez Zamawiającego, przystąpienia do usunięcia wad.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60" w:before="60" w:line="276" w:lineRule="auto"/>
        <w:ind w:left="360" w:right="0" w:hanging="360"/>
        <w:jc w:val="both"/>
        <w:rPr>
          <w:rFonts w:ascii="Times New Roman" w:cs="Times New Roman" w:eastAsia="Times New Roman" w:hAnsi="Times New Roman"/>
          <w:i w:val="0"/>
          <w:iCs w:val="0"/>
          <w:smallCaps w:val="0"/>
          <w:strike w:val="0"/>
          <w:color w:val="000000"/>
          <w:sz w:val="20"/>
          <w:szCs w:val="20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Gwarant zobowiązany jest do usunięcia wady: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keepNext w:val="0"/>
        <w:keepLines w:val="0"/>
        <w:pageBreakBefore w:val="0"/>
        <w:widowControl w:val="0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60" w:before="60" w:line="276" w:lineRule="auto"/>
        <w:ind w:left="1069" w:right="0" w:hanging="360"/>
        <w:jc w:val="both"/>
        <w:rPr>
          <w:rFonts w:ascii="Times New Roman" w:cs="Times New Roman" w:eastAsia="Times New Roman" w:hAnsi="Times New Roman"/>
          <w:i w:val="0"/>
          <w:iCs w:val="0"/>
          <w:smallCaps w:val="0"/>
          <w:strike w:val="0"/>
          <w:color w:val="000000"/>
          <w:sz w:val="20"/>
          <w:szCs w:val="20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w trybie zwykłym – niezwłocznie jednak nie dłużej niż w terminie 7 dni liczonych od dnia zgłoszenia wady przez Zamawiającego.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keepNext w:val="0"/>
        <w:keepLines w:val="0"/>
        <w:pageBreakBefore w:val="0"/>
        <w:widowControl w:val="0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60" w:before="60" w:line="276" w:lineRule="auto"/>
        <w:ind w:left="1069" w:right="0" w:hanging="360"/>
        <w:jc w:val="both"/>
        <w:rPr>
          <w:rFonts w:ascii="Times New Roman" w:cs="Times New Roman" w:eastAsia="Times New Roman" w:hAnsi="Times New Roman"/>
          <w:i w:val="0"/>
          <w:iCs w:val="0"/>
          <w:smallCaps w:val="0"/>
          <w:strike w:val="0"/>
          <w:color w:val="000000"/>
          <w:sz w:val="20"/>
          <w:szCs w:val="20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w trybie awaryjnym – niezwłocznie jednak nie dłużej niż w terminie 3 dni liczonych od dnia zgłoszenia wady przez Zamawiającego.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60" w:before="60" w:line="276" w:lineRule="auto"/>
        <w:ind w:left="360" w:right="0" w:hanging="360"/>
        <w:jc w:val="both"/>
        <w:rPr>
          <w:rFonts w:ascii="Times New Roman" w:cs="Times New Roman" w:eastAsia="Times New Roman" w:hAnsi="Times New Roman"/>
          <w:i w:val="0"/>
          <w:iCs w:val="0"/>
          <w:smallCaps w:val="0"/>
          <w:strike w:val="0"/>
          <w:color w:val="000000"/>
          <w:sz w:val="20"/>
          <w:szCs w:val="20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Jeżeli Gwarant opóźnia się z przystąpieniem do usunięcia lub usunięciem wad w ww. terminach, Zamawiający jest uprawniony do powierzenia usunięcia wad podmiotowi trzeciemu lub usunięcia wad samodzielnie, na koszt i niebezpieczeństwo Wykonawcy, bez konieczności uzyskania uprzedniej zgody sądu</w:t>
      </w:r>
      <w:r w:rsidDel="00000000" w:rsidR="00000000" w:rsidRPr="00000000">
        <w:rPr>
          <w:rFonts w:ascii="Times New Roman" w:cs="Times New Roman" w:eastAsia="Times New Roman" w:hAnsi="Times New Roman"/>
          <w:sz w:val="20"/>
          <w:szCs w:val="20"/>
          <w:rtl w:val="0"/>
        </w:rPr>
        <w:t xml:space="preserve">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60" w:before="60" w:line="276" w:lineRule="auto"/>
        <w:ind w:left="360" w:right="0" w:hanging="360"/>
        <w:jc w:val="both"/>
        <w:rPr>
          <w:rFonts w:ascii="Times New Roman" w:cs="Times New Roman" w:eastAsia="Times New Roman" w:hAnsi="Times New Roman"/>
          <w:i w:val="0"/>
          <w:iCs w:val="0"/>
          <w:smallCaps w:val="0"/>
          <w:strike w:val="0"/>
          <w:color w:val="000000"/>
          <w:sz w:val="20"/>
          <w:szCs w:val="20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W przypadku gdy w procesie usuwania wady dojdzie do wymiany wadliwych materiałów lub urządzeń na nowe, wolne od wad, okres gwarancji na to nowe urządzenie lub materiał biegnie na nowo.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8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60" w:before="60" w:line="276" w:lineRule="auto"/>
        <w:ind w:left="360" w:right="0" w:hanging="360"/>
        <w:jc w:val="both"/>
        <w:rPr>
          <w:rFonts w:ascii="Times New Roman" w:cs="Times New Roman" w:eastAsia="Times New Roman" w:hAnsi="Times New Roman"/>
          <w:i w:val="0"/>
          <w:iCs w:val="0"/>
          <w:smallCaps w:val="0"/>
          <w:strike w:val="0"/>
          <w:color w:val="000000"/>
          <w:sz w:val="20"/>
          <w:szCs w:val="20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Okres gwarancji na przedmiot umowy wydłuża się o czas usuwania wady licząc od dnia zgłoszenia aż do jej usunięcia.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60" w:before="60" w:line="276" w:lineRule="auto"/>
        <w:ind w:left="360" w:right="0" w:hanging="360"/>
        <w:jc w:val="both"/>
        <w:rPr>
          <w:rFonts w:ascii="Times New Roman" w:cs="Times New Roman" w:eastAsia="Times New Roman" w:hAnsi="Times New Roman"/>
          <w:i w:val="0"/>
          <w:iCs w:val="0"/>
          <w:smallCaps w:val="0"/>
          <w:strike w:val="0"/>
          <w:color w:val="000000"/>
          <w:sz w:val="20"/>
          <w:szCs w:val="20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Za datę usunięcia wady uważa się dzień podpisania bez zastrzeżeń protokołu reklamacyjnego, przez upoważnionych do tego przedstawicieli Stron.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60" w:before="60" w:line="276" w:lineRule="auto"/>
        <w:ind w:left="0" w:right="0" w:firstLine="0"/>
        <w:jc w:val="center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§ 6</w:t>
      </w:r>
    </w:p>
    <w:p w:rsidR="00000000" w:rsidDel="00000000" w:rsidP="00000000" w:rsidRDefault="00000000" w:rsidRPr="00000000" w14:paraId="0000002B">
      <w:pPr>
        <w:keepNext w:val="0"/>
        <w:keepLines w:val="0"/>
        <w:pageBreakBefore w:val="0"/>
        <w:widowControl w:val="1"/>
        <w:numPr>
          <w:ilvl w:val="0"/>
          <w:numId w:val="5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60" w:before="60" w:line="240" w:lineRule="auto"/>
        <w:ind w:left="360" w:right="0" w:hanging="360"/>
        <w:jc w:val="both"/>
        <w:rPr>
          <w:rFonts w:ascii="Times New Roman" w:cs="Times New Roman" w:eastAsia="Times New Roman" w:hAnsi="Times New Roman"/>
          <w:i w:val="0"/>
          <w:iCs w:val="0"/>
          <w:smallCaps w:val="0"/>
          <w:strike w:val="0"/>
          <w:color w:val="000000"/>
          <w:sz w:val="20"/>
          <w:szCs w:val="20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Wszelkie oświadczenia skierowane do Zamawiającego należy wysyłać w formie pisemnej na adres: Opera Krakowska w Krakowie, ul. Lubicz 48, 31-512 Kraków, lub za pośrednictwem korespondencji e-mail na adres: </w:t>
      </w:r>
      <w:r w:rsidDel="00000000" w:rsidR="00000000" w:rsidRPr="00000000">
        <w:rPr>
          <w:rFonts w:ascii="Times New Roman" w:cs="Times New Roman" w:eastAsia="Times New Roman" w:hAnsi="Times New Roman"/>
          <w:i w:val="0"/>
          <w:iCs w:val="0"/>
          <w:smallCaps w:val="0"/>
          <w:strike w:val="0"/>
          <w:color w:val="000000"/>
          <w:sz w:val="20"/>
          <w:szCs w:val="20"/>
          <w:u w:val="none"/>
          <w:vertAlign w:val="baseline"/>
          <w:rtl w:val="0"/>
        </w:rPr>
        <w:t xml:space="preserve">opera@opera.krakow.pl.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C">
      <w:pPr>
        <w:keepNext w:val="0"/>
        <w:keepLines w:val="0"/>
        <w:pageBreakBefore w:val="0"/>
        <w:widowControl w:val="1"/>
        <w:numPr>
          <w:ilvl w:val="0"/>
          <w:numId w:val="5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60" w:before="60" w:line="276" w:lineRule="auto"/>
        <w:ind w:left="360" w:right="0" w:hanging="360"/>
        <w:jc w:val="both"/>
        <w:rPr>
          <w:rFonts w:ascii="Times New Roman" w:cs="Times New Roman" w:eastAsia="Times New Roman" w:hAnsi="Times New Roman"/>
          <w:i w:val="0"/>
          <w:iCs w:val="0"/>
          <w:smallCaps w:val="0"/>
          <w:strike w:val="0"/>
          <w:color w:val="000000"/>
          <w:sz w:val="20"/>
          <w:szCs w:val="20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 zmianach w danych teleadresowych, o których mowa w § 4 ust. 1 Gwarant obowiązany jest informować niezwłocznie, nie później niż 7 dni od chwili zaistnienia zmian, pod rygorem uznania wysłania korespondencji pod ostatnio znany adres za skutecznie doręczoną.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60" w:before="60" w:line="276" w:lineRule="auto"/>
        <w:ind w:left="0" w:right="0" w:firstLine="0"/>
        <w:jc w:val="center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§ 7</w:t>
      </w:r>
    </w:p>
    <w:p w:rsidR="00000000" w:rsidDel="00000000" w:rsidP="00000000" w:rsidRDefault="00000000" w:rsidRPr="00000000" w14:paraId="0000002E">
      <w:pPr>
        <w:keepNext w:val="0"/>
        <w:keepLines w:val="0"/>
        <w:pageBreakBefore w:val="0"/>
        <w:widowControl w:val="1"/>
        <w:numPr>
          <w:ilvl w:val="0"/>
          <w:numId w:val="6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60" w:before="60" w:line="276" w:lineRule="auto"/>
        <w:ind w:left="360" w:right="0" w:hanging="360"/>
        <w:jc w:val="both"/>
        <w:rPr>
          <w:rFonts w:ascii="Times New Roman" w:cs="Times New Roman" w:eastAsia="Times New Roman" w:hAnsi="Times New Roman"/>
          <w:i w:val="0"/>
          <w:iCs w:val="0"/>
          <w:smallCaps w:val="0"/>
          <w:strike w:val="0"/>
          <w:color w:val="000000"/>
          <w:sz w:val="20"/>
          <w:szCs w:val="20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W sprawach nieuregulowanych zastosowanie mają odpowiednie przepisy prawa, w szczególności ustawy z dnia 23 kwietnia 1964 r. Kodeks Cywilny oraz ustawy z dnia 11 września 2019 r. Prawo zamówień publicznych.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keepNext w:val="0"/>
        <w:keepLines w:val="0"/>
        <w:pageBreakBefore w:val="0"/>
        <w:widowControl w:val="1"/>
        <w:numPr>
          <w:ilvl w:val="0"/>
          <w:numId w:val="6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60" w:before="60" w:line="276" w:lineRule="auto"/>
        <w:ind w:left="360" w:right="0" w:hanging="360"/>
        <w:jc w:val="both"/>
        <w:rPr>
          <w:rFonts w:ascii="Times New Roman" w:cs="Times New Roman" w:eastAsia="Times New Roman" w:hAnsi="Times New Roman"/>
          <w:i w:val="0"/>
          <w:iCs w:val="0"/>
          <w:smallCaps w:val="0"/>
          <w:strike w:val="0"/>
          <w:color w:val="000000"/>
          <w:sz w:val="20"/>
          <w:szCs w:val="20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Integralną częścią niniejszej Karty Gwarancyjnej jest ww. umowa oraz inne dokumenty z nią związane, które określają przedmiot zadania objętego udzieloną gwarancją.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0">
      <w:pPr>
        <w:keepNext w:val="0"/>
        <w:keepLines w:val="0"/>
        <w:pageBreakBefore w:val="0"/>
        <w:widowControl w:val="1"/>
        <w:numPr>
          <w:ilvl w:val="0"/>
          <w:numId w:val="6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60" w:before="60" w:line="276" w:lineRule="auto"/>
        <w:ind w:left="360" w:right="0" w:hanging="360"/>
        <w:jc w:val="both"/>
        <w:rPr>
          <w:rFonts w:ascii="Times New Roman" w:cs="Times New Roman" w:eastAsia="Times New Roman" w:hAnsi="Times New Roman"/>
          <w:i w:val="0"/>
          <w:iCs w:val="0"/>
          <w:smallCaps w:val="0"/>
          <w:strike w:val="0"/>
          <w:color w:val="000000"/>
          <w:sz w:val="20"/>
          <w:szCs w:val="20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Wszelkie zmiany niniejszej Karty Gwarancyjnej wymagają formy pisemnej pod rygorem nieważności.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60" w:before="60" w:line="276" w:lineRule="auto"/>
        <w:ind w:left="0" w:right="0" w:firstLine="0"/>
        <w:jc w:val="right"/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2">
      <w:pPr>
        <w:rPr>
          <w:rFonts w:ascii="Times New Roman" w:cs="Times New Roman" w:eastAsia="Times New Roman" w:hAnsi="Times New Roman"/>
          <w:b w:val="1"/>
          <w:bC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3">
      <w:pPr>
        <w:rPr>
          <w:rFonts w:ascii="Times New Roman" w:cs="Times New Roman" w:eastAsia="Times New Roman" w:hAnsi="Times New Roman"/>
          <w:b w:val="1"/>
          <w:bC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4">
      <w:pPr>
        <w:jc w:val="center"/>
        <w:rPr>
          <w:rFonts w:ascii="Times New Roman" w:cs="Times New Roman" w:eastAsia="Times New Roman" w:hAnsi="Times New Roman"/>
          <w:b w:val="1"/>
          <w:bCs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rtl w:val="0"/>
        </w:rPr>
        <w:t xml:space="preserve">……………………………………….</w:t>
      </w:r>
    </w:p>
    <w:p w:rsidR="00000000" w:rsidDel="00000000" w:rsidP="00000000" w:rsidRDefault="00000000" w:rsidRPr="00000000" w14:paraId="00000035">
      <w:pPr>
        <w:jc w:val="center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rtl w:val="0"/>
        </w:rPr>
        <w:t xml:space="preserve">Gwarant</w:t>
      </w:r>
      <w:r w:rsidDel="00000000" w:rsidR="00000000" w:rsidRPr="00000000">
        <w:rPr>
          <w:rtl w:val="0"/>
        </w:rPr>
      </w:r>
    </w:p>
    <w:sectPr>
      <w:headerReference r:id="rId6" w:type="default"/>
      <w:pgSz w:h="16838" w:w="11906" w:orient="portrait"/>
      <w:pgMar w:bottom="340" w:top="1134" w:left="1418" w:right="991" w:header="454" w:footer="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Times New Roman"/>
  <w:font w:name="Georgia"/>
  <w:font w:name="Cambria"/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36">
    <w:pPr>
      <w:spacing w:after="0" w:line="240" w:lineRule="auto"/>
      <w:jc w:val="center"/>
      <w:rPr/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lowerLetter"/>
      <w:lvlText w:val="%2."/>
      <w:lvlJc w:val="left"/>
      <w:pPr>
        <w:ind w:left="1080" w:hanging="360"/>
      </w:pPr>
      <w:rPr/>
    </w:lvl>
    <w:lvl w:ilvl="2">
      <w:start w:val="1"/>
      <w:numFmt w:val="lowerRoman"/>
      <w:lvlText w:val="%3."/>
      <w:lvlJc w:val="right"/>
      <w:pPr>
        <w:ind w:left="1800" w:hanging="180"/>
      </w:pPr>
      <w:rPr/>
    </w:lvl>
    <w:lvl w:ilvl="3">
      <w:start w:val="1"/>
      <w:numFmt w:val="decimal"/>
      <w:lvlText w:val="%4."/>
      <w:lvlJc w:val="left"/>
      <w:pPr>
        <w:ind w:left="2520" w:hanging="360"/>
      </w:pPr>
      <w:rPr/>
    </w:lvl>
    <w:lvl w:ilvl="4">
      <w:start w:val="1"/>
      <w:numFmt w:val="lowerLetter"/>
      <w:lvlText w:val="%5."/>
      <w:lvlJc w:val="left"/>
      <w:pPr>
        <w:ind w:left="3240" w:hanging="360"/>
      </w:pPr>
      <w:rPr/>
    </w:lvl>
    <w:lvl w:ilvl="5">
      <w:start w:val="1"/>
      <w:numFmt w:val="lowerRoman"/>
      <w:lvlText w:val="%6."/>
      <w:lvlJc w:val="right"/>
      <w:pPr>
        <w:ind w:left="3960" w:hanging="180"/>
      </w:pPr>
      <w:rPr/>
    </w:lvl>
    <w:lvl w:ilvl="6">
      <w:start w:val="1"/>
      <w:numFmt w:val="decimal"/>
      <w:lvlText w:val="%7."/>
      <w:lvlJc w:val="left"/>
      <w:pPr>
        <w:ind w:left="4680" w:hanging="360"/>
      </w:pPr>
      <w:rPr/>
    </w:lvl>
    <w:lvl w:ilvl="7">
      <w:start w:val="1"/>
      <w:numFmt w:val="lowerLetter"/>
      <w:lvlText w:val="%8."/>
      <w:lvlJc w:val="left"/>
      <w:pPr>
        <w:ind w:left="5400" w:hanging="360"/>
      </w:pPr>
      <w:rPr/>
    </w:lvl>
    <w:lvl w:ilvl="8">
      <w:start w:val="1"/>
      <w:numFmt w:val="lowerRoman"/>
      <w:lvlText w:val="%9."/>
      <w:lvlJc w:val="right"/>
      <w:pPr>
        <w:ind w:left="6120" w:hanging="180"/>
      </w:pPr>
      <w:rPr/>
    </w:lvl>
  </w:abstractNum>
  <w:abstractNum w:abstractNumId="2"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lowerLetter"/>
      <w:lvlText w:val="%2."/>
      <w:lvlJc w:val="left"/>
      <w:pPr>
        <w:ind w:left="1080" w:hanging="360"/>
      </w:pPr>
      <w:rPr/>
    </w:lvl>
    <w:lvl w:ilvl="2">
      <w:start w:val="1"/>
      <w:numFmt w:val="lowerRoman"/>
      <w:lvlText w:val="%3."/>
      <w:lvlJc w:val="right"/>
      <w:pPr>
        <w:ind w:left="1800" w:hanging="180"/>
      </w:pPr>
      <w:rPr/>
    </w:lvl>
    <w:lvl w:ilvl="3">
      <w:start w:val="1"/>
      <w:numFmt w:val="decimal"/>
      <w:lvlText w:val="%4."/>
      <w:lvlJc w:val="left"/>
      <w:pPr>
        <w:ind w:left="2520" w:hanging="360"/>
      </w:pPr>
      <w:rPr/>
    </w:lvl>
    <w:lvl w:ilvl="4">
      <w:start w:val="1"/>
      <w:numFmt w:val="lowerLetter"/>
      <w:lvlText w:val="%5."/>
      <w:lvlJc w:val="left"/>
      <w:pPr>
        <w:ind w:left="3240" w:hanging="360"/>
      </w:pPr>
      <w:rPr/>
    </w:lvl>
    <w:lvl w:ilvl="5">
      <w:start w:val="1"/>
      <w:numFmt w:val="lowerRoman"/>
      <w:lvlText w:val="%6."/>
      <w:lvlJc w:val="right"/>
      <w:pPr>
        <w:ind w:left="3960" w:hanging="180"/>
      </w:pPr>
      <w:rPr/>
    </w:lvl>
    <w:lvl w:ilvl="6">
      <w:start w:val="1"/>
      <w:numFmt w:val="decimal"/>
      <w:lvlText w:val="%7."/>
      <w:lvlJc w:val="left"/>
      <w:pPr>
        <w:ind w:left="4680" w:hanging="360"/>
      </w:pPr>
      <w:rPr/>
    </w:lvl>
    <w:lvl w:ilvl="7">
      <w:start w:val="1"/>
      <w:numFmt w:val="lowerLetter"/>
      <w:lvlText w:val="%8."/>
      <w:lvlJc w:val="left"/>
      <w:pPr>
        <w:ind w:left="5400" w:hanging="360"/>
      </w:pPr>
      <w:rPr/>
    </w:lvl>
    <w:lvl w:ilvl="8">
      <w:start w:val="1"/>
      <w:numFmt w:val="lowerRoman"/>
      <w:lvlText w:val="%9."/>
      <w:lvlJc w:val="right"/>
      <w:pPr>
        <w:ind w:left="6120" w:hanging="180"/>
      </w:pPr>
      <w:rPr/>
    </w:lvl>
  </w:abstractNum>
  <w:abstractNum w:abstractNumId="3">
    <w:lvl w:ilvl="0">
      <w:start w:val="1"/>
      <w:numFmt w:val="lowerLetter"/>
      <w:lvlText w:val="%1)"/>
      <w:lvlJc w:val="left"/>
      <w:pPr>
        <w:ind w:left="1069" w:hanging="360"/>
      </w:pPr>
      <w:rPr>
        <w:b w:val="0"/>
        <w:bCs w:val="0"/>
      </w:rPr>
    </w:lvl>
    <w:lvl w:ilvl="1">
      <w:start w:val="1"/>
      <w:numFmt w:val="lowerLetter"/>
      <w:lvlText w:val="%2."/>
      <w:lvlJc w:val="left"/>
      <w:pPr>
        <w:ind w:left="1789" w:hanging="360"/>
      </w:pPr>
      <w:rPr/>
    </w:lvl>
    <w:lvl w:ilvl="2">
      <w:start w:val="1"/>
      <w:numFmt w:val="lowerRoman"/>
      <w:lvlText w:val="%3."/>
      <w:lvlJc w:val="right"/>
      <w:pPr>
        <w:ind w:left="2509" w:hanging="180"/>
      </w:pPr>
      <w:rPr/>
    </w:lvl>
    <w:lvl w:ilvl="3">
      <w:start w:val="1"/>
      <w:numFmt w:val="decimal"/>
      <w:lvlText w:val="%4."/>
      <w:lvlJc w:val="left"/>
      <w:pPr>
        <w:ind w:left="3229" w:hanging="360"/>
      </w:pPr>
      <w:rPr/>
    </w:lvl>
    <w:lvl w:ilvl="4">
      <w:start w:val="1"/>
      <w:numFmt w:val="lowerLetter"/>
      <w:lvlText w:val="%5."/>
      <w:lvlJc w:val="left"/>
      <w:pPr>
        <w:ind w:left="3949" w:hanging="360"/>
      </w:pPr>
      <w:rPr/>
    </w:lvl>
    <w:lvl w:ilvl="5">
      <w:start w:val="1"/>
      <w:numFmt w:val="lowerRoman"/>
      <w:lvlText w:val="%6."/>
      <w:lvlJc w:val="right"/>
      <w:pPr>
        <w:ind w:left="4669" w:hanging="180"/>
      </w:pPr>
      <w:rPr/>
    </w:lvl>
    <w:lvl w:ilvl="6">
      <w:start w:val="1"/>
      <w:numFmt w:val="decimal"/>
      <w:lvlText w:val="%7."/>
      <w:lvlJc w:val="left"/>
      <w:pPr>
        <w:ind w:left="5389" w:hanging="360"/>
      </w:pPr>
      <w:rPr/>
    </w:lvl>
    <w:lvl w:ilvl="7">
      <w:start w:val="1"/>
      <w:numFmt w:val="lowerLetter"/>
      <w:lvlText w:val="%8."/>
      <w:lvlJc w:val="left"/>
      <w:pPr>
        <w:ind w:left="6109" w:hanging="360"/>
      </w:pPr>
      <w:rPr/>
    </w:lvl>
    <w:lvl w:ilvl="8">
      <w:start w:val="1"/>
      <w:numFmt w:val="lowerRoman"/>
      <w:lvlText w:val="%9."/>
      <w:lvlJc w:val="right"/>
      <w:pPr>
        <w:ind w:left="6829" w:hanging="180"/>
      </w:pPr>
      <w:rPr/>
    </w:lvl>
  </w:abstractNum>
  <w:abstractNum w:abstractNumId="4">
    <w:lvl w:ilvl="0">
      <w:start w:val="1"/>
      <w:numFmt w:val="lowerLetter"/>
      <w:lvlText w:val="%1)"/>
      <w:lvlJc w:val="left"/>
      <w:pPr>
        <w:ind w:left="1069" w:hanging="360"/>
      </w:pPr>
      <w:rPr>
        <w:b w:val="0"/>
        <w:bCs w:val="0"/>
      </w:rPr>
    </w:lvl>
    <w:lvl w:ilvl="1">
      <w:start w:val="1"/>
      <w:numFmt w:val="lowerLetter"/>
      <w:lvlText w:val="%2."/>
      <w:lvlJc w:val="left"/>
      <w:pPr>
        <w:ind w:left="1789" w:hanging="360"/>
      </w:pPr>
      <w:rPr/>
    </w:lvl>
    <w:lvl w:ilvl="2">
      <w:start w:val="1"/>
      <w:numFmt w:val="lowerRoman"/>
      <w:lvlText w:val="%3."/>
      <w:lvlJc w:val="right"/>
      <w:pPr>
        <w:ind w:left="2509" w:hanging="180"/>
      </w:pPr>
      <w:rPr/>
    </w:lvl>
    <w:lvl w:ilvl="3">
      <w:start w:val="1"/>
      <w:numFmt w:val="decimal"/>
      <w:lvlText w:val="%4."/>
      <w:lvlJc w:val="left"/>
      <w:pPr>
        <w:ind w:left="3229" w:hanging="360"/>
      </w:pPr>
      <w:rPr/>
    </w:lvl>
    <w:lvl w:ilvl="4">
      <w:start w:val="1"/>
      <w:numFmt w:val="lowerLetter"/>
      <w:lvlText w:val="%5."/>
      <w:lvlJc w:val="left"/>
      <w:pPr>
        <w:ind w:left="3949" w:hanging="360"/>
      </w:pPr>
      <w:rPr/>
    </w:lvl>
    <w:lvl w:ilvl="5">
      <w:start w:val="1"/>
      <w:numFmt w:val="lowerRoman"/>
      <w:lvlText w:val="%6."/>
      <w:lvlJc w:val="right"/>
      <w:pPr>
        <w:ind w:left="4669" w:hanging="180"/>
      </w:pPr>
      <w:rPr/>
    </w:lvl>
    <w:lvl w:ilvl="6">
      <w:start w:val="1"/>
      <w:numFmt w:val="decimal"/>
      <w:lvlText w:val="%7."/>
      <w:lvlJc w:val="left"/>
      <w:pPr>
        <w:ind w:left="5389" w:hanging="360"/>
      </w:pPr>
      <w:rPr/>
    </w:lvl>
    <w:lvl w:ilvl="7">
      <w:start w:val="1"/>
      <w:numFmt w:val="lowerLetter"/>
      <w:lvlText w:val="%8."/>
      <w:lvlJc w:val="left"/>
      <w:pPr>
        <w:ind w:left="6109" w:hanging="360"/>
      </w:pPr>
      <w:rPr/>
    </w:lvl>
    <w:lvl w:ilvl="8">
      <w:start w:val="1"/>
      <w:numFmt w:val="lowerRoman"/>
      <w:lvlText w:val="%9."/>
      <w:lvlJc w:val="right"/>
      <w:pPr>
        <w:ind w:left="6829" w:hanging="180"/>
      </w:pPr>
      <w:rPr/>
    </w:lvl>
  </w:abstractNum>
  <w:abstractNum w:abstractNumId="5"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abstractNum w:abstractNumId="6"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abstractNum w:abstractNumId="7"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lowerLetter"/>
      <w:lvlText w:val="%2."/>
      <w:lvlJc w:val="left"/>
      <w:pPr>
        <w:ind w:left="1080" w:hanging="360"/>
      </w:pPr>
      <w:rPr/>
    </w:lvl>
    <w:lvl w:ilvl="2">
      <w:start w:val="1"/>
      <w:numFmt w:val="lowerRoman"/>
      <w:lvlText w:val="%3."/>
      <w:lvlJc w:val="right"/>
      <w:pPr>
        <w:ind w:left="1800" w:hanging="180"/>
      </w:pPr>
      <w:rPr/>
    </w:lvl>
    <w:lvl w:ilvl="3">
      <w:start w:val="1"/>
      <w:numFmt w:val="decimal"/>
      <w:lvlText w:val="%4."/>
      <w:lvlJc w:val="left"/>
      <w:pPr>
        <w:ind w:left="2520" w:hanging="360"/>
      </w:pPr>
      <w:rPr/>
    </w:lvl>
    <w:lvl w:ilvl="4">
      <w:start w:val="1"/>
      <w:numFmt w:val="lowerLetter"/>
      <w:lvlText w:val="%5."/>
      <w:lvlJc w:val="left"/>
      <w:pPr>
        <w:ind w:left="3240" w:hanging="360"/>
      </w:pPr>
      <w:rPr/>
    </w:lvl>
    <w:lvl w:ilvl="5">
      <w:start w:val="1"/>
      <w:numFmt w:val="lowerRoman"/>
      <w:lvlText w:val="%6."/>
      <w:lvlJc w:val="right"/>
      <w:pPr>
        <w:ind w:left="3960" w:hanging="180"/>
      </w:pPr>
      <w:rPr/>
    </w:lvl>
    <w:lvl w:ilvl="6">
      <w:start w:val="1"/>
      <w:numFmt w:val="decimal"/>
      <w:lvlText w:val="%7."/>
      <w:lvlJc w:val="left"/>
      <w:pPr>
        <w:ind w:left="4680" w:hanging="360"/>
      </w:pPr>
      <w:rPr/>
    </w:lvl>
    <w:lvl w:ilvl="7">
      <w:start w:val="1"/>
      <w:numFmt w:val="lowerLetter"/>
      <w:lvlText w:val="%8."/>
      <w:lvlJc w:val="left"/>
      <w:pPr>
        <w:ind w:left="5400" w:hanging="360"/>
      </w:pPr>
      <w:rPr/>
    </w:lvl>
    <w:lvl w:ilvl="8">
      <w:start w:val="1"/>
      <w:numFmt w:val="lowerRoman"/>
      <w:lvlText w:val="%9."/>
      <w:lvlJc w:val="right"/>
      <w:pPr>
        <w:ind w:left="6120" w:hanging="180"/>
      </w:pPr>
      <w:rPr/>
    </w:lvl>
  </w:abstractNum>
  <w:abstractNum w:abstractNumId="8"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lowerLetter"/>
      <w:lvlText w:val="%2."/>
      <w:lvlJc w:val="left"/>
      <w:pPr>
        <w:ind w:left="1080" w:hanging="360"/>
      </w:pPr>
      <w:rPr/>
    </w:lvl>
    <w:lvl w:ilvl="2">
      <w:start w:val="1"/>
      <w:numFmt w:val="lowerRoman"/>
      <w:lvlText w:val="%3."/>
      <w:lvlJc w:val="right"/>
      <w:pPr>
        <w:ind w:left="1800" w:hanging="180"/>
      </w:pPr>
      <w:rPr/>
    </w:lvl>
    <w:lvl w:ilvl="3">
      <w:start w:val="1"/>
      <w:numFmt w:val="decimal"/>
      <w:lvlText w:val="%4."/>
      <w:lvlJc w:val="left"/>
      <w:pPr>
        <w:ind w:left="2520" w:hanging="360"/>
      </w:pPr>
      <w:rPr/>
    </w:lvl>
    <w:lvl w:ilvl="4">
      <w:start w:val="1"/>
      <w:numFmt w:val="lowerLetter"/>
      <w:lvlText w:val="%5."/>
      <w:lvlJc w:val="left"/>
      <w:pPr>
        <w:ind w:left="3240" w:hanging="360"/>
      </w:pPr>
      <w:rPr/>
    </w:lvl>
    <w:lvl w:ilvl="5">
      <w:start w:val="1"/>
      <w:numFmt w:val="lowerRoman"/>
      <w:lvlText w:val="%6."/>
      <w:lvlJc w:val="right"/>
      <w:pPr>
        <w:ind w:left="3960" w:hanging="180"/>
      </w:pPr>
      <w:rPr/>
    </w:lvl>
    <w:lvl w:ilvl="6">
      <w:start w:val="1"/>
      <w:numFmt w:val="decimal"/>
      <w:lvlText w:val="%7."/>
      <w:lvlJc w:val="left"/>
      <w:pPr>
        <w:ind w:left="4680" w:hanging="360"/>
      </w:pPr>
      <w:rPr/>
    </w:lvl>
    <w:lvl w:ilvl="7">
      <w:start w:val="1"/>
      <w:numFmt w:val="lowerLetter"/>
      <w:lvlText w:val="%8."/>
      <w:lvlJc w:val="left"/>
      <w:pPr>
        <w:ind w:left="5400" w:hanging="360"/>
      </w:pPr>
      <w:rPr/>
    </w:lvl>
    <w:lvl w:ilvl="8">
      <w:start w:val="1"/>
      <w:numFmt w:val="lowerRoman"/>
      <w:lvlText w:val="%9."/>
      <w:lvlJc w:val="right"/>
      <w:pPr>
        <w:ind w:left="6120" w:hanging="180"/>
      </w:pPr>
      <w:rPr/>
    </w:lvl>
  </w:abstractNum>
  <w:abstractNum w:abstractNumId="9">
    <w:lvl w:ilvl="0">
      <w:start w:val="1"/>
      <w:numFmt w:val="lowerLetter"/>
      <w:lvlText w:val="%1)"/>
      <w:lvlJc w:val="left"/>
      <w:pPr>
        <w:ind w:left="720" w:hanging="360"/>
      </w:pPr>
      <w:rPr>
        <w:b w:val="0"/>
        <w:bCs w:val="0"/>
      </w:rPr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abstractNum w:abstractNumId="10"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lowerLetter"/>
      <w:lvlText w:val="%2."/>
      <w:lvlJc w:val="left"/>
      <w:pPr>
        <w:ind w:left="1080" w:hanging="360"/>
      </w:pPr>
      <w:rPr/>
    </w:lvl>
    <w:lvl w:ilvl="2">
      <w:start w:val="1"/>
      <w:numFmt w:val="lowerRoman"/>
      <w:lvlText w:val="%3."/>
      <w:lvlJc w:val="right"/>
      <w:pPr>
        <w:ind w:left="1800" w:hanging="180"/>
      </w:pPr>
      <w:rPr/>
    </w:lvl>
    <w:lvl w:ilvl="3">
      <w:start w:val="1"/>
      <w:numFmt w:val="decimal"/>
      <w:lvlText w:val="%4."/>
      <w:lvlJc w:val="left"/>
      <w:pPr>
        <w:ind w:left="2520" w:hanging="360"/>
      </w:pPr>
      <w:rPr/>
    </w:lvl>
    <w:lvl w:ilvl="4">
      <w:start w:val="1"/>
      <w:numFmt w:val="lowerLetter"/>
      <w:lvlText w:val="%5."/>
      <w:lvlJc w:val="left"/>
      <w:pPr>
        <w:ind w:left="3240" w:hanging="360"/>
      </w:pPr>
      <w:rPr/>
    </w:lvl>
    <w:lvl w:ilvl="5">
      <w:start w:val="1"/>
      <w:numFmt w:val="lowerRoman"/>
      <w:lvlText w:val="%6."/>
      <w:lvlJc w:val="right"/>
      <w:pPr>
        <w:ind w:left="3960" w:hanging="180"/>
      </w:pPr>
      <w:rPr/>
    </w:lvl>
    <w:lvl w:ilvl="6">
      <w:start w:val="1"/>
      <w:numFmt w:val="decimal"/>
      <w:lvlText w:val="%7."/>
      <w:lvlJc w:val="left"/>
      <w:pPr>
        <w:ind w:left="4680" w:hanging="360"/>
      </w:pPr>
      <w:rPr/>
    </w:lvl>
    <w:lvl w:ilvl="7">
      <w:start w:val="1"/>
      <w:numFmt w:val="lowerLetter"/>
      <w:lvlText w:val="%8."/>
      <w:lvlJc w:val="left"/>
      <w:pPr>
        <w:ind w:left="5400" w:hanging="360"/>
      </w:pPr>
      <w:rPr/>
    </w:lvl>
    <w:lvl w:ilvl="8">
      <w:start w:val="1"/>
      <w:numFmt w:val="lowerRoman"/>
      <w:lvlText w:val="%9."/>
      <w:lvlJc w:val="right"/>
      <w:pPr>
        <w:ind w:left="6120" w:hanging="180"/>
      </w:pPr>
      <w:rPr/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sz w:val="22"/>
        <w:szCs w:val="22"/>
        <w:lang w:val="pl"/>
      </w:rPr>
    </w:rPrDefault>
    <w:pPrDefault>
      <w:pPr>
        <w:spacing w:after="200"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76" w:lineRule="auto"/>
      <w:ind w:left="0" w:right="0" w:firstLine="0"/>
      <w:jc w:val="left"/>
    </w:pPr>
    <w:rPr>
      <w:rFonts w:ascii="Calibri" w:cs="Calibri" w:eastAsia="Calibri" w:hAnsi="Calibri"/>
      <w:b w:val="1"/>
      <w:bCs w:val="1"/>
      <w:i w:val="0"/>
      <w:iCs w:val="0"/>
      <w:smallCaps w:val="0"/>
      <w:strike w:val="0"/>
      <w:color w:val="000000"/>
      <w:sz w:val="48"/>
      <w:szCs w:val="48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76" w:lineRule="auto"/>
      <w:ind w:left="0" w:right="0" w:firstLine="0"/>
      <w:jc w:val="left"/>
    </w:pPr>
    <w:rPr>
      <w:rFonts w:ascii="Calibri" w:cs="Calibri" w:eastAsia="Calibri" w:hAnsi="Calibri"/>
      <w:b w:val="1"/>
      <w:bCs w:val="1"/>
      <w:i w:val="0"/>
      <w:iCs w:val="0"/>
      <w:smallCaps w:val="0"/>
      <w:strike w:val="0"/>
      <w:color w:val="000000"/>
      <w:sz w:val="36"/>
      <w:szCs w:val="3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80" w:line="276" w:lineRule="auto"/>
      <w:ind w:left="0" w:right="0" w:firstLine="0"/>
      <w:jc w:val="left"/>
    </w:pPr>
    <w:rPr>
      <w:rFonts w:ascii="Calibri" w:cs="Calibri" w:eastAsia="Calibri" w:hAnsi="Calibri"/>
      <w:b w:val="1"/>
      <w:bCs w:val="1"/>
      <w:i w:val="0"/>
      <w:iCs w:val="0"/>
      <w:smallCaps w:val="0"/>
      <w:strike w:val="0"/>
      <w:color w:val="000000"/>
      <w:sz w:val="28"/>
      <w:szCs w:val="28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spacing w:after="0" w:line="240" w:lineRule="auto"/>
    </w:pPr>
    <w:rPr>
      <w:rFonts w:ascii="Times New Roman" w:cs="Times New Roman" w:eastAsia="Times New Roman" w:hAnsi="Times New Roman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76" w:lineRule="auto"/>
      <w:ind w:left="0" w:right="0" w:firstLine="0"/>
      <w:jc w:val="left"/>
    </w:pPr>
    <w:rPr>
      <w:rFonts w:ascii="Calibri" w:cs="Calibri" w:eastAsia="Calibri" w:hAnsi="Calibri"/>
      <w:b w:val="1"/>
      <w:bCs w:val="1"/>
      <w:i w:val="0"/>
      <w:iCs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spacing w:after="0" w:line="240" w:lineRule="auto"/>
    </w:pPr>
    <w:rPr>
      <w:rFonts w:ascii="Times New Roman" w:cs="Times New Roman" w:eastAsia="Times New Roman" w:hAnsi="Times New Roman"/>
      <w:b w:val="1"/>
      <w:bCs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76" w:lineRule="auto"/>
      <w:ind w:left="0" w:right="0" w:firstLine="0"/>
      <w:jc w:val="left"/>
    </w:pPr>
    <w:rPr>
      <w:rFonts w:ascii="Calibri" w:cs="Calibri" w:eastAsia="Calibri" w:hAnsi="Calibri"/>
      <w:b w:val="1"/>
      <w:bCs w:val="1"/>
      <w:i w:val="0"/>
      <w:iCs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76" w:lineRule="auto"/>
      <w:ind w:left="0" w:right="0" w:firstLine="0"/>
      <w:jc w:val="left"/>
    </w:pPr>
    <w:rPr>
      <w:rFonts w:ascii="Georgia" w:cs="Georgia" w:eastAsia="Georgia" w:hAnsi="Georgia"/>
      <w:b w:val="0"/>
      <w:bCs w:val="0"/>
      <w:i w:val="1"/>
      <w:iCs w:val="1"/>
      <w:smallCaps w:val="0"/>
      <w:strike w:val="0"/>
      <w:color w:val="666666"/>
      <w:sz w:val="48"/>
      <w:szCs w:val="48"/>
      <w:u w:val="none"/>
      <w:shd w:fill="auto" w:val="clear"/>
      <w:vertAlign w:val="baseline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