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5A259" w14:textId="53E8D97E" w:rsidR="00DE42B3" w:rsidRPr="00511C2F" w:rsidRDefault="00DE42B3" w:rsidP="00DE42B3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240" w:line="276" w:lineRule="auto"/>
        <w:outlineLvl w:val="1"/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</w:pPr>
      <w:r w:rsidRPr="00511C2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ZAŁĄCZNIK NR 1B DO SWZ: PRZEDMIOTOWY ŚRODEK DOWODOWY</w:t>
      </w:r>
    </w:p>
    <w:p w14:paraId="39721AE1" w14:textId="77777777" w:rsidR="00DE42B3" w:rsidRPr="00511C2F" w:rsidRDefault="00DE42B3" w:rsidP="00DE42B3">
      <w:pPr>
        <w:numPr>
          <w:ilvl w:val="0"/>
          <w:numId w:val="8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511C2F">
        <w:rPr>
          <w:rFonts w:ascii="Arial" w:hAnsi="Arial" w:cs="Arial"/>
          <w:b/>
          <w:sz w:val="23"/>
          <w:szCs w:val="23"/>
          <w:lang w:eastAsia="zh-CN"/>
        </w:rPr>
        <w:t>INFORMACJE DOTYCZĄCE WYKONAWCY</w:t>
      </w:r>
    </w:p>
    <w:p w14:paraId="697E0EF7" w14:textId="77777777" w:rsidR="00DE42B3" w:rsidRPr="00511C2F" w:rsidRDefault="00DE42B3" w:rsidP="00DE42B3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263"/>
        <w:gridCol w:w="2882"/>
      </w:tblGrid>
      <w:tr w:rsidR="00DE42B3" w:rsidRPr="00511C2F" w14:paraId="7FA5A69C" w14:textId="77777777" w:rsidTr="00511C2F">
        <w:tc>
          <w:tcPr>
            <w:tcW w:w="561" w:type="dxa"/>
            <w:vAlign w:val="center"/>
          </w:tcPr>
          <w:p w14:paraId="241102C8" w14:textId="77777777" w:rsidR="00DE42B3" w:rsidRPr="00511C2F" w:rsidRDefault="00DE42B3" w:rsidP="00DE42B3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en-US"/>
              </w:rPr>
              <w:t>Lp.</w:t>
            </w:r>
          </w:p>
        </w:tc>
        <w:tc>
          <w:tcPr>
            <w:tcW w:w="6263" w:type="dxa"/>
            <w:vAlign w:val="center"/>
          </w:tcPr>
          <w:p w14:paraId="3BA47F75" w14:textId="77777777" w:rsidR="00DE42B3" w:rsidRPr="00511C2F" w:rsidRDefault="00DE42B3" w:rsidP="00DE42B3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en-US"/>
              </w:rPr>
              <w:t>Kolumna 1</w:t>
            </w:r>
          </w:p>
        </w:tc>
        <w:tc>
          <w:tcPr>
            <w:tcW w:w="2882" w:type="dxa"/>
            <w:vAlign w:val="center"/>
          </w:tcPr>
          <w:p w14:paraId="30BA8C50" w14:textId="77777777" w:rsidR="00DE42B3" w:rsidRPr="00511C2F" w:rsidRDefault="00DE42B3" w:rsidP="00DE42B3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  <w:t xml:space="preserve">Kolumna 2 </w:t>
            </w:r>
            <w:r w:rsidRPr="00511C2F">
              <w:rPr>
                <w:rFonts w:ascii="Arial" w:hAnsi="Arial" w:cs="Arial"/>
                <w:color w:val="0070C0"/>
                <w:sz w:val="23"/>
                <w:szCs w:val="23"/>
                <w:lang w:eastAsia="en-US"/>
              </w:rPr>
              <w:t>(</w:t>
            </w:r>
            <w:r w:rsidRPr="00511C2F">
              <w:rPr>
                <w:rFonts w:ascii="Arial" w:hAnsi="Arial" w:cs="Arial"/>
                <w:i/>
                <w:iCs/>
                <w:color w:val="0070C0"/>
                <w:sz w:val="23"/>
                <w:szCs w:val="23"/>
                <w:lang w:eastAsia="en-US"/>
              </w:rPr>
              <w:t>uzupełnia Wykonawca</w:t>
            </w:r>
            <w:r w:rsidRPr="00511C2F">
              <w:rPr>
                <w:rFonts w:ascii="Arial" w:hAnsi="Arial" w:cs="Arial"/>
                <w:color w:val="0070C0"/>
                <w:sz w:val="23"/>
                <w:szCs w:val="23"/>
                <w:lang w:eastAsia="en-US"/>
              </w:rPr>
              <w:t>)</w:t>
            </w:r>
          </w:p>
        </w:tc>
      </w:tr>
      <w:tr w:rsidR="00DE42B3" w:rsidRPr="00511C2F" w14:paraId="1779298E" w14:textId="77777777" w:rsidTr="00511C2F">
        <w:tc>
          <w:tcPr>
            <w:tcW w:w="561" w:type="dxa"/>
          </w:tcPr>
          <w:p w14:paraId="10F5AECD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sz w:val="23"/>
                <w:szCs w:val="23"/>
                <w:lang w:eastAsia="en-US"/>
              </w:rPr>
              <w:t>1</w:t>
            </w:r>
          </w:p>
        </w:tc>
        <w:tc>
          <w:tcPr>
            <w:tcW w:w="6263" w:type="dxa"/>
          </w:tcPr>
          <w:p w14:paraId="3C3FB954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  <w:t>Dane Wykonawcy – pełna nazwa/ firma</w:t>
            </w:r>
          </w:p>
        </w:tc>
        <w:tc>
          <w:tcPr>
            <w:tcW w:w="2882" w:type="dxa"/>
          </w:tcPr>
          <w:p w14:paraId="73B59099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</w:pPr>
          </w:p>
        </w:tc>
      </w:tr>
      <w:tr w:rsidR="00DE42B3" w:rsidRPr="00511C2F" w14:paraId="0D74C973" w14:textId="77777777" w:rsidTr="00511C2F">
        <w:tc>
          <w:tcPr>
            <w:tcW w:w="561" w:type="dxa"/>
          </w:tcPr>
          <w:p w14:paraId="1E3BFCB0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sz w:val="23"/>
                <w:szCs w:val="23"/>
                <w:lang w:eastAsia="en-US"/>
              </w:rPr>
              <w:t>2</w:t>
            </w:r>
          </w:p>
        </w:tc>
        <w:tc>
          <w:tcPr>
            <w:tcW w:w="6263" w:type="dxa"/>
          </w:tcPr>
          <w:p w14:paraId="7E59A614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50454BAB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</w:pPr>
          </w:p>
        </w:tc>
      </w:tr>
      <w:tr w:rsidR="00DE42B3" w:rsidRPr="00511C2F" w14:paraId="6F035EB6" w14:textId="77777777" w:rsidTr="00511C2F">
        <w:tc>
          <w:tcPr>
            <w:tcW w:w="561" w:type="dxa"/>
          </w:tcPr>
          <w:p w14:paraId="5460EA96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sz w:val="23"/>
                <w:szCs w:val="23"/>
                <w:lang w:eastAsia="en-US"/>
              </w:rPr>
              <w:t>3</w:t>
            </w:r>
          </w:p>
        </w:tc>
        <w:tc>
          <w:tcPr>
            <w:tcW w:w="6263" w:type="dxa"/>
          </w:tcPr>
          <w:p w14:paraId="251463F8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  <w:t>Numer REGON</w:t>
            </w:r>
          </w:p>
        </w:tc>
        <w:tc>
          <w:tcPr>
            <w:tcW w:w="2882" w:type="dxa"/>
          </w:tcPr>
          <w:p w14:paraId="1A4BF504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</w:pPr>
          </w:p>
        </w:tc>
      </w:tr>
      <w:tr w:rsidR="00DE42B3" w:rsidRPr="00511C2F" w14:paraId="446DD64F" w14:textId="77777777" w:rsidTr="00511C2F">
        <w:tc>
          <w:tcPr>
            <w:tcW w:w="561" w:type="dxa"/>
          </w:tcPr>
          <w:p w14:paraId="6F555829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sz w:val="23"/>
                <w:szCs w:val="23"/>
                <w:lang w:eastAsia="en-US"/>
              </w:rPr>
              <w:t>4</w:t>
            </w:r>
          </w:p>
        </w:tc>
        <w:tc>
          <w:tcPr>
            <w:tcW w:w="6263" w:type="dxa"/>
          </w:tcPr>
          <w:p w14:paraId="38241A66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3"/>
                <w:szCs w:val="23"/>
                <w:lang w:eastAsia="en-US"/>
              </w:rPr>
              <w:t>Numer NIP/ PESEL</w:t>
            </w:r>
          </w:p>
        </w:tc>
        <w:tc>
          <w:tcPr>
            <w:tcW w:w="2882" w:type="dxa"/>
          </w:tcPr>
          <w:p w14:paraId="5C159E7C" w14:textId="77777777" w:rsidR="00DE42B3" w:rsidRPr="00511C2F" w:rsidRDefault="00DE42B3" w:rsidP="00DE42B3">
            <w:pPr>
              <w:spacing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en-US"/>
              </w:rPr>
            </w:pPr>
          </w:p>
        </w:tc>
      </w:tr>
    </w:tbl>
    <w:p w14:paraId="58F70907" w14:textId="0D6BA59C" w:rsidR="00DE42B3" w:rsidRPr="00511C2F" w:rsidRDefault="00A153AD" w:rsidP="00637A14">
      <w:pPr>
        <w:numPr>
          <w:ilvl w:val="0"/>
          <w:numId w:val="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OŚWIADCZENIE WŁASNE WYKONAWCY STANOWIĄCE PRZEDMIOTOWY ŚRODEK DOWODOWY (zwany również PŚD) POTWIERDZAJĄCY </w:t>
      </w:r>
      <w:proofErr w:type="gramStart"/>
      <w:r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ZGODNOŚĆ  ZAOFEROWANEGO</w:t>
      </w:r>
      <w:proofErr w:type="gramEnd"/>
      <w:r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PRZEZ WYKONAWCĘ /SPRZĘTU/URZĄDZENIA</w:t>
      </w:r>
      <w:r w:rsidR="009F1B3A"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Z WYMAGANIAMI OKREŚLONYMI PRZEZ ZAMAWIAJĄCEGO W OPISIE PRZEDMIOTU ZAMÓWIENIA (zwanym również </w:t>
      </w:r>
      <w:proofErr w:type="gramStart"/>
      <w:r w:rsidRPr="00511C2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OPZ )</w:t>
      </w:r>
      <w:proofErr w:type="gramEnd"/>
    </w:p>
    <w:p w14:paraId="2930995E" w14:textId="77777777" w:rsidR="002912CE" w:rsidRPr="00511C2F" w:rsidRDefault="002912CE" w:rsidP="002912CE">
      <w:pPr>
        <w:widowControl w:val="0"/>
        <w:autoSpaceDE w:val="0"/>
        <w:autoSpaceDN w:val="0"/>
        <w:spacing w:after="0" w:line="276" w:lineRule="auto"/>
        <w:rPr>
          <w:rFonts w:ascii="Arial" w:hAnsi="Arial" w:cs="Arial"/>
          <w:sz w:val="23"/>
          <w:szCs w:val="23"/>
        </w:rPr>
      </w:pPr>
    </w:p>
    <w:p w14:paraId="644367CE" w14:textId="50B85610" w:rsidR="005314E0" w:rsidRPr="00511C2F" w:rsidRDefault="005314E0" w:rsidP="005314E0">
      <w:pPr>
        <w:spacing w:after="0" w:line="276" w:lineRule="auto"/>
        <w:ind w:left="708"/>
        <w:contextualSpacing/>
        <w:rPr>
          <w:rFonts w:ascii="Arial" w:eastAsia="Calibri" w:hAnsi="Arial" w:cs="Arial"/>
          <w:sz w:val="23"/>
          <w:szCs w:val="23"/>
          <w:u w:val="single"/>
          <w:lang w:eastAsia="en-US"/>
        </w:rPr>
      </w:pPr>
      <w:r w:rsidRPr="00511C2F">
        <w:rPr>
          <w:rFonts w:ascii="Arial" w:eastAsia="Calibri" w:hAnsi="Arial" w:cs="Arial"/>
          <w:b/>
          <w:bCs/>
          <w:sz w:val="23"/>
          <w:szCs w:val="23"/>
          <w:u w:val="single"/>
          <w:lang w:eastAsia="en-US"/>
        </w:rPr>
        <w:t>UWAGA</w:t>
      </w:r>
      <w:r w:rsidRPr="00511C2F">
        <w:rPr>
          <w:rFonts w:ascii="Arial" w:eastAsia="Calibri" w:hAnsi="Arial" w:cs="Arial"/>
          <w:sz w:val="23"/>
          <w:szCs w:val="23"/>
          <w:u w:val="single"/>
          <w:lang w:eastAsia="en-US"/>
        </w:rPr>
        <w:t>: w kol. C: Wykonawca zobowiązany jest w niniejszym PŚD oświadczyć poprzez wskazanie właściwej odpowiedzi potwierdzającej spełnienie wymagań dla poszczególnych, wyodrębnionych elementów określających przedmiot zamówienia.</w:t>
      </w:r>
    </w:p>
    <w:p w14:paraId="519398DD" w14:textId="1AED850C" w:rsidR="005314E0" w:rsidRDefault="005314E0" w:rsidP="005314E0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sz w:val="23"/>
          <w:szCs w:val="23"/>
          <w:lang w:eastAsia="en-US"/>
        </w:rPr>
      </w:pPr>
    </w:p>
    <w:p w14:paraId="2515D555" w14:textId="51A5EBA7" w:rsidR="008E6133" w:rsidRDefault="008E6133" w:rsidP="005314E0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sz w:val="23"/>
          <w:szCs w:val="23"/>
          <w:lang w:eastAsia="en-US"/>
        </w:rPr>
      </w:pPr>
    </w:p>
    <w:p w14:paraId="654E5456" w14:textId="09064BF3" w:rsidR="008E6133" w:rsidRDefault="008E6133" w:rsidP="005314E0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sz w:val="23"/>
          <w:szCs w:val="23"/>
          <w:lang w:eastAsia="en-US"/>
        </w:rPr>
      </w:pPr>
    </w:p>
    <w:p w14:paraId="519C618C" w14:textId="77777777" w:rsidR="008E6133" w:rsidRPr="00511C2F" w:rsidRDefault="008E6133" w:rsidP="005314E0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sz w:val="23"/>
          <w:szCs w:val="23"/>
          <w:lang w:eastAsia="en-US"/>
        </w:rPr>
      </w:pPr>
    </w:p>
    <w:p w14:paraId="23D9D693" w14:textId="08F246D2" w:rsidR="002912CE" w:rsidRPr="00511C2F" w:rsidRDefault="002912CE" w:rsidP="007A0FBA">
      <w:pPr>
        <w:numPr>
          <w:ilvl w:val="0"/>
          <w:numId w:val="19"/>
        </w:numPr>
        <w:spacing w:after="0" w:line="276" w:lineRule="auto"/>
        <w:contextualSpacing/>
        <w:rPr>
          <w:rFonts w:ascii="Arial" w:eastAsia="Calibri" w:hAnsi="Arial" w:cs="Arial"/>
          <w:b/>
          <w:bCs/>
          <w:sz w:val="23"/>
          <w:szCs w:val="23"/>
          <w:lang w:val="en-US" w:eastAsia="en-US"/>
        </w:rPr>
      </w:pPr>
      <w:r w:rsidRPr="00511C2F">
        <w:rPr>
          <w:rFonts w:ascii="Arial" w:eastAsia="Calibri" w:hAnsi="Arial" w:cs="Arial"/>
          <w:b/>
          <w:bCs/>
          <w:sz w:val="23"/>
          <w:szCs w:val="23"/>
          <w:lang w:eastAsia="en-US"/>
        </w:rPr>
        <w:lastRenderedPageBreak/>
        <w:t xml:space="preserve">Serwer – 2 szt.: </w:t>
      </w:r>
    </w:p>
    <w:p w14:paraId="48787CBF" w14:textId="7709993E" w:rsidR="002912CE" w:rsidRPr="00511C2F" w:rsidRDefault="002912CE" w:rsidP="002912CE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color w:val="C00000"/>
          <w:sz w:val="23"/>
          <w:szCs w:val="23"/>
          <w:lang w:val="en-US" w:eastAsia="en-US"/>
        </w:rPr>
      </w:pPr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eastAsia="en-US"/>
        </w:rPr>
        <w:t xml:space="preserve">nazwa/ oznaczenie wersji/ oznaczenie modelu ………………………………………………………… </w:t>
      </w:r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val="en-US" w:eastAsia="en-US"/>
        </w:rPr>
        <w:t>(</w:t>
      </w:r>
      <w:proofErr w:type="spellStart"/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val="en-US" w:eastAsia="en-US"/>
        </w:rPr>
        <w:t>uzupełnia</w:t>
      </w:r>
      <w:proofErr w:type="spellEnd"/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val="en-US" w:eastAsia="en-US"/>
        </w:rPr>
        <w:t xml:space="preserve"> </w:t>
      </w:r>
      <w:proofErr w:type="spellStart"/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val="en-US" w:eastAsia="en-US"/>
        </w:rPr>
        <w:t>Wykonawca</w:t>
      </w:r>
      <w:proofErr w:type="spellEnd"/>
      <w:r w:rsidRPr="00511C2F">
        <w:rPr>
          <w:rFonts w:ascii="Arial" w:eastAsia="Calibri" w:hAnsi="Arial" w:cs="Arial"/>
          <w:b/>
          <w:bCs/>
          <w:color w:val="C00000"/>
          <w:sz w:val="23"/>
          <w:szCs w:val="23"/>
          <w:highlight w:val="cyan"/>
          <w:lang w:val="en-US" w:eastAsia="en-US"/>
        </w:rPr>
        <w:t>)</w:t>
      </w:r>
    </w:p>
    <w:p w14:paraId="4648E98B" w14:textId="77777777" w:rsidR="002912CE" w:rsidRPr="00511C2F" w:rsidRDefault="002912CE" w:rsidP="002912CE">
      <w:pPr>
        <w:spacing w:after="0" w:line="276" w:lineRule="auto"/>
        <w:ind w:left="720"/>
        <w:contextualSpacing/>
        <w:rPr>
          <w:rFonts w:ascii="Arial" w:eastAsia="Calibri" w:hAnsi="Arial" w:cs="Arial"/>
          <w:b/>
          <w:bCs/>
          <w:sz w:val="23"/>
          <w:szCs w:val="23"/>
          <w:lang w:val="en-US" w:eastAsia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7299"/>
        <w:gridCol w:w="4075"/>
      </w:tblGrid>
      <w:tr w:rsidR="002912CE" w:rsidRPr="00511C2F" w14:paraId="5D3688DF" w14:textId="7DF43B19" w:rsidTr="00B27E2F">
        <w:tc>
          <w:tcPr>
            <w:tcW w:w="936" w:type="pct"/>
            <w:shd w:val="clear" w:color="auto" w:fill="70AD47"/>
            <w:vAlign w:val="center"/>
          </w:tcPr>
          <w:p w14:paraId="0B7677A9" w14:textId="6DE65E7E" w:rsidR="002912CE" w:rsidRPr="00511C2F" w:rsidRDefault="002912CE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FFFFFF" w:themeColor="background1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>Kol. A: Parametr</w:t>
            </w:r>
          </w:p>
        </w:tc>
        <w:tc>
          <w:tcPr>
            <w:tcW w:w="2608" w:type="pct"/>
            <w:shd w:val="clear" w:color="auto" w:fill="70AD47"/>
            <w:vAlign w:val="center"/>
          </w:tcPr>
          <w:p w14:paraId="5AD94B9C" w14:textId="0D81394F" w:rsidR="002912CE" w:rsidRPr="00511C2F" w:rsidRDefault="002912CE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FFFFFF" w:themeColor="background1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>Kol. B: Cecha/Wartość/Właściwość</w:t>
            </w:r>
          </w:p>
        </w:tc>
        <w:tc>
          <w:tcPr>
            <w:tcW w:w="1456" w:type="pct"/>
            <w:shd w:val="clear" w:color="auto" w:fill="70AD47"/>
            <w:vAlign w:val="center"/>
          </w:tcPr>
          <w:p w14:paraId="36B47734" w14:textId="0B160A38" w:rsidR="002912CE" w:rsidRPr="00511C2F" w:rsidRDefault="002912CE" w:rsidP="002912CE">
            <w:pPr>
              <w:keepNext/>
              <w:suppressAutoHyphens/>
              <w:spacing w:after="0" w:line="240" w:lineRule="auto"/>
              <w:jc w:val="center"/>
              <w:outlineLvl w:val="1"/>
              <w:rPr>
                <w:rFonts w:ascii="Arial" w:hAnsi="Arial" w:cs="Arial"/>
                <w:b/>
                <w:bCs/>
                <w:smallCaps/>
                <w:color w:val="FFFFFF" w:themeColor="background1"/>
                <w:sz w:val="23"/>
                <w:szCs w:val="23"/>
                <w:lang w:eastAsia="ar-SA"/>
              </w:rPr>
            </w:pPr>
            <w:r w:rsidRPr="00511C2F">
              <w:rPr>
                <w:rFonts w:ascii="Arial" w:hAnsi="Arial" w:cs="Arial"/>
                <w:b/>
                <w:bCs/>
                <w:smallCaps/>
                <w:color w:val="FFFFFF" w:themeColor="background1"/>
                <w:sz w:val="23"/>
                <w:szCs w:val="23"/>
                <w:lang w:eastAsia="ar-SA"/>
              </w:rPr>
              <w:t>Kol. C: SPOSÓB POTWIERDZENIA parametru oferowanego</w:t>
            </w:r>
          </w:p>
          <w:p w14:paraId="444DC4FB" w14:textId="77777777" w:rsidR="002912CE" w:rsidRPr="00511C2F" w:rsidRDefault="002912CE" w:rsidP="002912CE">
            <w:pPr>
              <w:keepNext/>
              <w:suppressAutoHyphens/>
              <w:spacing w:after="0" w:line="240" w:lineRule="auto"/>
              <w:jc w:val="center"/>
              <w:outlineLvl w:val="1"/>
              <w:rPr>
                <w:rFonts w:ascii="Arial" w:hAnsi="Arial" w:cs="Arial"/>
                <w:b/>
                <w:bCs/>
                <w:smallCaps/>
                <w:color w:val="FFFFFF" w:themeColor="background1"/>
                <w:sz w:val="23"/>
                <w:szCs w:val="23"/>
                <w:lang w:eastAsia="ar-SA"/>
              </w:rPr>
            </w:pPr>
            <w:r w:rsidRPr="00511C2F">
              <w:rPr>
                <w:rFonts w:ascii="Arial" w:hAnsi="Arial" w:cs="Arial"/>
                <w:b/>
                <w:bCs/>
                <w:smallCaps/>
                <w:color w:val="FFFFFF" w:themeColor="background1"/>
                <w:sz w:val="23"/>
                <w:szCs w:val="23"/>
                <w:lang w:eastAsia="ar-SA"/>
              </w:rPr>
              <w:t>STANOWIĄCE OŚWIADCZENIE WYKONAWCY</w:t>
            </w:r>
          </w:p>
          <w:p w14:paraId="768AA8C6" w14:textId="77777777" w:rsidR="002912CE" w:rsidRPr="00511C2F" w:rsidRDefault="002912CE" w:rsidP="002912CE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</w:pPr>
          </w:p>
          <w:p w14:paraId="40799ABB" w14:textId="77777777" w:rsidR="002912CE" w:rsidRPr="00511C2F" w:rsidRDefault="002912CE" w:rsidP="002912CE">
            <w:pPr>
              <w:jc w:val="center"/>
              <w:rPr>
                <w:rFonts w:ascii="Arial" w:hAnsi="Arial" w:cs="Arial"/>
                <w:color w:val="FFFFFF" w:themeColor="background1"/>
                <w:sz w:val="23"/>
                <w:szCs w:val="23"/>
              </w:rPr>
            </w:pP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 xml:space="preserve">Określenie, czy oferowany element przedmiotu zamówienia spełnia, czy nie spełnia minimalnych wymagań 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>(uzupełnia Wykonawca)</w:t>
            </w:r>
          </w:p>
          <w:p w14:paraId="1431D9DE" w14:textId="77777777" w:rsidR="002912CE" w:rsidRPr="00511C2F" w:rsidRDefault="002912CE" w:rsidP="002912CE">
            <w:pPr>
              <w:jc w:val="center"/>
              <w:rPr>
                <w:rFonts w:ascii="Arial" w:hAnsi="Arial" w:cs="Arial"/>
                <w:color w:val="FFFFFF" w:themeColor="background1"/>
                <w:sz w:val="23"/>
                <w:szCs w:val="23"/>
              </w:rPr>
            </w:pP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Wskazując </w:t>
            </w: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>Spełnia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 lub </w:t>
            </w: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>Tak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 - oświadczam/y, że oferujemy parametry techniczno- jakościowe określone w poszczególnych wierszach.</w:t>
            </w:r>
          </w:p>
          <w:p w14:paraId="1D8C35B4" w14:textId="577FDCA2" w:rsidR="002912CE" w:rsidRPr="00511C2F" w:rsidRDefault="002912CE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FFFFFF" w:themeColor="background1"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Wskazując </w:t>
            </w: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 xml:space="preserve">NIE SPEŁNIA 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lub </w:t>
            </w:r>
            <w:r w:rsidRPr="00511C2F">
              <w:rPr>
                <w:rFonts w:ascii="Arial" w:hAnsi="Arial" w:cs="Arial"/>
                <w:b/>
                <w:bCs/>
                <w:color w:val="FFFFFF" w:themeColor="background1"/>
                <w:sz w:val="23"/>
                <w:szCs w:val="23"/>
              </w:rPr>
              <w:t>Nie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t xml:space="preserve"> - oświadczam/y, że nie oferujemy parametrów techniczno- jakościowych </w:t>
            </w:r>
            <w:r w:rsidRPr="00511C2F">
              <w:rPr>
                <w:rFonts w:ascii="Arial" w:hAnsi="Arial" w:cs="Arial"/>
                <w:color w:val="FFFFFF" w:themeColor="background1"/>
                <w:sz w:val="23"/>
                <w:szCs w:val="23"/>
              </w:rPr>
              <w:lastRenderedPageBreak/>
              <w:t>określonych w poszczególnych wierszach.</w:t>
            </w:r>
          </w:p>
        </w:tc>
      </w:tr>
      <w:tr w:rsidR="002912CE" w:rsidRPr="00511C2F" w14:paraId="762A063C" w14:textId="26F50B8A" w:rsidTr="00B27E2F">
        <w:tc>
          <w:tcPr>
            <w:tcW w:w="936" w:type="pct"/>
            <w:shd w:val="clear" w:color="auto" w:fill="70AD47"/>
            <w:hideMark/>
          </w:tcPr>
          <w:p w14:paraId="51567DCF" w14:textId="77777777" w:rsidR="002912CE" w:rsidRPr="00511C2F" w:rsidRDefault="002912CE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  <w:lastRenderedPageBreak/>
              <w:t>Parametr</w:t>
            </w:r>
          </w:p>
        </w:tc>
        <w:tc>
          <w:tcPr>
            <w:tcW w:w="2608" w:type="pct"/>
            <w:shd w:val="clear" w:color="auto" w:fill="70AD47"/>
            <w:hideMark/>
          </w:tcPr>
          <w:p w14:paraId="7E25408B" w14:textId="77777777" w:rsidR="002912CE" w:rsidRPr="00511C2F" w:rsidRDefault="002912CE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i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  <w:t>Charakterystyka (wymagania minimalne)</w:t>
            </w:r>
          </w:p>
        </w:tc>
        <w:tc>
          <w:tcPr>
            <w:tcW w:w="1456" w:type="pct"/>
            <w:shd w:val="clear" w:color="auto" w:fill="70AD47"/>
          </w:tcPr>
          <w:p w14:paraId="21C87C1C" w14:textId="33E829ED" w:rsidR="002912CE" w:rsidRPr="00511C2F" w:rsidRDefault="005314E0" w:rsidP="002912C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  <w:t xml:space="preserve">Oświadczenie Wykonawcy </w:t>
            </w:r>
            <w:r w:rsidRPr="00511C2F">
              <w:rPr>
                <w:rFonts w:ascii="Arial" w:eastAsia="Calibri" w:hAnsi="Arial" w:cs="Arial"/>
                <w:b/>
                <w:color w:val="C00000"/>
                <w:sz w:val="23"/>
                <w:szCs w:val="23"/>
                <w:lang w:eastAsia="en-US"/>
              </w:rPr>
              <w:t>– uzupełnia Wykonawca</w:t>
            </w:r>
          </w:p>
        </w:tc>
      </w:tr>
      <w:tr w:rsidR="00B27E2F" w:rsidRPr="00511C2F" w14:paraId="027E51B6" w14:textId="358BF910" w:rsidTr="00B27E2F">
        <w:tc>
          <w:tcPr>
            <w:tcW w:w="936" w:type="pct"/>
          </w:tcPr>
          <w:p w14:paraId="3A9E228D" w14:textId="20EA45BC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Obudowa</w:t>
            </w:r>
          </w:p>
        </w:tc>
        <w:tc>
          <w:tcPr>
            <w:tcW w:w="2608" w:type="pct"/>
          </w:tcPr>
          <w:p w14:paraId="5682030E" w14:textId="77777777" w:rsidR="00B27E2F" w:rsidRPr="00511C2F" w:rsidRDefault="00B27E2F" w:rsidP="00B27E2F">
            <w:pPr>
              <w:pStyle w:val="Akapitzlist"/>
              <w:numPr>
                <w:ilvl w:val="0"/>
                <w:numId w:val="20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Obudowa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Rack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o wysokości max 1U</w:t>
            </w:r>
          </w:p>
          <w:p w14:paraId="54BC0E0C" w14:textId="77777777" w:rsidR="00B27E2F" w:rsidRPr="00511C2F" w:rsidRDefault="00B27E2F" w:rsidP="00511C2F">
            <w:pPr>
              <w:pStyle w:val="Akapitzlist"/>
              <w:numPr>
                <w:ilvl w:val="0"/>
                <w:numId w:val="2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8 slotów na dyski 2.5”</w:t>
            </w:r>
          </w:p>
          <w:p w14:paraId="563320CE" w14:textId="4D73B3A8" w:rsidR="00B27E2F" w:rsidRPr="00511C2F" w:rsidRDefault="00B27E2F" w:rsidP="00B27E2F">
            <w:pPr>
              <w:numPr>
                <w:ilvl w:val="0"/>
                <w:numId w:val="11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Obudowa z możliwością wyposażenia w kartę umożliwiającą dostęp bezpośredni poprzez urządzenia mobilne - serwer musi posiadać możliwość konfiguracji oraz monitoringu najważniejszych komponentów serwera przy użyciu dedykowanej aplikacji mobilnej min. (Android/ Apple iOS) przy użyciu jednego z protokołów BLE/ WIFI.</w:t>
            </w:r>
          </w:p>
        </w:tc>
        <w:tc>
          <w:tcPr>
            <w:tcW w:w="1456" w:type="pct"/>
          </w:tcPr>
          <w:p w14:paraId="55DEB27B" w14:textId="06EA9F01" w:rsidR="00B27E2F" w:rsidRPr="00511C2F" w:rsidRDefault="00B27E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17CA1321" w14:textId="5B71F718" w:rsidTr="00B27E2F">
        <w:trPr>
          <w:trHeight w:val="258"/>
        </w:trPr>
        <w:tc>
          <w:tcPr>
            <w:tcW w:w="936" w:type="pct"/>
          </w:tcPr>
          <w:p w14:paraId="4311628C" w14:textId="6AC010F1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Płyta główna</w:t>
            </w:r>
          </w:p>
        </w:tc>
        <w:tc>
          <w:tcPr>
            <w:tcW w:w="2608" w:type="pct"/>
          </w:tcPr>
          <w:p w14:paraId="6556D061" w14:textId="77777777" w:rsidR="00B27E2F" w:rsidRPr="00511C2F" w:rsidRDefault="00B27E2F" w:rsidP="00B27E2F">
            <w:pPr>
              <w:pStyle w:val="Akapitzlist"/>
              <w:numPr>
                <w:ilvl w:val="0"/>
                <w:numId w:val="21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Płyta główna z możliwością zainstalowania jednego procesora. </w:t>
            </w:r>
          </w:p>
          <w:p w14:paraId="4E85097B" w14:textId="77777777" w:rsidR="00B27E2F" w:rsidRPr="00511C2F" w:rsidRDefault="00B27E2F" w:rsidP="00B27E2F">
            <w:pPr>
              <w:pStyle w:val="Akapitzlist"/>
              <w:numPr>
                <w:ilvl w:val="0"/>
                <w:numId w:val="21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Obsługa procesorów 144 rdzeniowych. </w:t>
            </w:r>
          </w:p>
          <w:p w14:paraId="60C99144" w14:textId="77777777" w:rsidR="00B27E2F" w:rsidRPr="00511C2F" w:rsidRDefault="00B27E2F" w:rsidP="00B27E2F">
            <w:pPr>
              <w:pStyle w:val="Akapitzlist"/>
              <w:numPr>
                <w:ilvl w:val="0"/>
                <w:numId w:val="21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Płyta główna musi być zaprojektowana przez producenta serwera i oznaczona jego znakiem firmowym. </w:t>
            </w:r>
          </w:p>
          <w:p w14:paraId="2FD6D8E3" w14:textId="77777777" w:rsidR="00B27E2F" w:rsidRPr="00511C2F" w:rsidRDefault="00B27E2F" w:rsidP="00511C2F">
            <w:pPr>
              <w:pStyle w:val="Akapitzlist"/>
              <w:numPr>
                <w:ilvl w:val="0"/>
                <w:numId w:val="21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Na płycie głównej powinny znajdować się minimum 16 slotów przeznaczonych do instalacji pamięci. </w:t>
            </w:r>
          </w:p>
          <w:p w14:paraId="0CFE6DE1" w14:textId="604B479E" w:rsidR="00B27E2F" w:rsidRPr="00511C2F" w:rsidRDefault="00B27E2F" w:rsidP="00B27E2F">
            <w:pPr>
              <w:numPr>
                <w:ilvl w:val="0"/>
                <w:numId w:val="11"/>
              </w:numPr>
              <w:spacing w:after="0" w:line="276" w:lineRule="auto"/>
              <w:contextualSpacing/>
              <w:rPr>
                <w:rFonts w:ascii="Arial" w:eastAsia="Calibri" w:hAnsi="Arial" w:cs="Arial"/>
                <w:bCs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Płyta główna powinna obsługiwać do 4TB pamięci RAM.</w:t>
            </w:r>
          </w:p>
        </w:tc>
        <w:tc>
          <w:tcPr>
            <w:tcW w:w="1456" w:type="pct"/>
          </w:tcPr>
          <w:p w14:paraId="3E212877" w14:textId="226FF457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bCs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3E11A106" w14:textId="191A216B" w:rsidTr="00B27E2F">
        <w:trPr>
          <w:trHeight w:val="710"/>
        </w:trPr>
        <w:tc>
          <w:tcPr>
            <w:tcW w:w="936" w:type="pct"/>
          </w:tcPr>
          <w:p w14:paraId="3E4C89EB" w14:textId="4307595B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Chipset</w:t>
            </w:r>
          </w:p>
        </w:tc>
        <w:tc>
          <w:tcPr>
            <w:tcW w:w="2608" w:type="pct"/>
          </w:tcPr>
          <w:p w14:paraId="1953C74D" w14:textId="0BFBD38D" w:rsidR="00B27E2F" w:rsidRPr="00511C2F" w:rsidRDefault="00B27E2F" w:rsidP="00B27E2F">
            <w:pPr>
              <w:numPr>
                <w:ilvl w:val="0"/>
                <w:numId w:val="18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bCs/>
                <w:sz w:val="17"/>
                <w:szCs w:val="17"/>
              </w:rPr>
              <w:t>Dedykowany przez producenta procesora do pracy w serwerach jednoprocesorowych.</w:t>
            </w:r>
          </w:p>
        </w:tc>
        <w:tc>
          <w:tcPr>
            <w:tcW w:w="1456" w:type="pct"/>
          </w:tcPr>
          <w:p w14:paraId="1A80C497" w14:textId="06C68329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53AE805A" w14:textId="5902899B" w:rsidTr="00B27E2F">
        <w:tc>
          <w:tcPr>
            <w:tcW w:w="936" w:type="pct"/>
          </w:tcPr>
          <w:p w14:paraId="455B4B08" w14:textId="56EF7361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Procesor</w:t>
            </w:r>
          </w:p>
        </w:tc>
        <w:tc>
          <w:tcPr>
            <w:tcW w:w="2608" w:type="pct"/>
          </w:tcPr>
          <w:p w14:paraId="5A5A424E" w14:textId="3B2A420E" w:rsidR="00B27E2F" w:rsidRPr="00511C2F" w:rsidRDefault="00B27E2F" w:rsidP="00B27E2F">
            <w:pPr>
              <w:numPr>
                <w:ilvl w:val="0"/>
                <w:numId w:val="11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Zainstalowany jeden procesor min. 16-rdzeniowy, min. 2.3GHz, klasy x86 dedykowany do pracy z zaoferowanym serwerem umożliwiający osiągnięcie wyniku min. 196 w teście SPECspeed®2017_fp_base, dostępnym na stronie www.spec.org dla konfiguracji jednoprocesorowej oferowanego serwera. </w:t>
            </w:r>
          </w:p>
        </w:tc>
        <w:tc>
          <w:tcPr>
            <w:tcW w:w="1456" w:type="pct"/>
          </w:tcPr>
          <w:p w14:paraId="5165D45A" w14:textId="5B8E960F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val="en-US"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258138C4" w14:textId="4A9060C1" w:rsidTr="00B27E2F">
        <w:tc>
          <w:tcPr>
            <w:tcW w:w="936" w:type="pct"/>
          </w:tcPr>
          <w:p w14:paraId="687EEA9D" w14:textId="5F34E98D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RAM</w:t>
            </w:r>
          </w:p>
        </w:tc>
        <w:tc>
          <w:tcPr>
            <w:tcW w:w="2608" w:type="pct"/>
          </w:tcPr>
          <w:p w14:paraId="56340A6F" w14:textId="0BF0B798" w:rsidR="00B27E2F" w:rsidRPr="00511C2F" w:rsidRDefault="00B27E2F" w:rsidP="00B27E2F">
            <w:pPr>
              <w:numPr>
                <w:ilvl w:val="1"/>
                <w:numId w:val="12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val="en-US"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  <w:lang w:val="en-US"/>
              </w:rPr>
              <w:t xml:space="preserve">128GB DDR5 RDIMM 6400MT/s, </w:t>
            </w:r>
          </w:p>
        </w:tc>
        <w:tc>
          <w:tcPr>
            <w:tcW w:w="1456" w:type="pct"/>
          </w:tcPr>
          <w:p w14:paraId="1FDCA0B6" w14:textId="434B91E5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0F89912F" w14:textId="6E0E1C5D" w:rsidTr="00B27E2F">
        <w:trPr>
          <w:trHeight w:val="341"/>
        </w:trPr>
        <w:tc>
          <w:tcPr>
            <w:tcW w:w="936" w:type="pct"/>
          </w:tcPr>
          <w:p w14:paraId="696B7504" w14:textId="2CBFEEE1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Kontroler RAID</w:t>
            </w:r>
          </w:p>
        </w:tc>
        <w:tc>
          <w:tcPr>
            <w:tcW w:w="2608" w:type="pct"/>
          </w:tcPr>
          <w:p w14:paraId="5A3BEB1A" w14:textId="77777777" w:rsidR="00B27E2F" w:rsidRPr="00511C2F" w:rsidRDefault="00B27E2F" w:rsidP="00B27E2F">
            <w:pPr>
              <w:pStyle w:val="Akapitzlist"/>
              <w:numPr>
                <w:ilvl w:val="0"/>
                <w:numId w:val="13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Sprzętowy kontroler dyskowy, posiadający</w:t>
            </w:r>
          </w:p>
          <w:p w14:paraId="47B73B95" w14:textId="77777777" w:rsidR="00B27E2F" w:rsidRPr="00511C2F" w:rsidRDefault="00B27E2F" w:rsidP="00B27E2F">
            <w:pPr>
              <w:pStyle w:val="Akapitzlist"/>
              <w:numPr>
                <w:ilvl w:val="1"/>
                <w:numId w:val="12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Min. 8GB nieulotnej pamięci cache,</w:t>
            </w:r>
          </w:p>
          <w:p w14:paraId="5B7595A0" w14:textId="77777777" w:rsidR="00B27E2F" w:rsidRPr="00511C2F" w:rsidRDefault="00B27E2F" w:rsidP="00B27E2F">
            <w:pPr>
              <w:pStyle w:val="Akapitzlist"/>
              <w:numPr>
                <w:ilvl w:val="1"/>
                <w:numId w:val="12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lastRenderedPageBreak/>
              <w:t>Możliwość konfiguracji poziomów RAID: 0, 1, 5, 6, 10, 50, 60.</w:t>
            </w:r>
          </w:p>
          <w:p w14:paraId="48F9F470" w14:textId="77777777" w:rsidR="00B27E2F" w:rsidRPr="00511C2F" w:rsidRDefault="00B27E2F" w:rsidP="00B27E2F">
            <w:pPr>
              <w:pStyle w:val="Akapitzlist"/>
              <w:numPr>
                <w:ilvl w:val="1"/>
                <w:numId w:val="12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Wsparcie dla dysków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samoszyfrujących</w:t>
            </w:r>
            <w:proofErr w:type="spellEnd"/>
          </w:p>
          <w:p w14:paraId="786681AC" w14:textId="38235A4F" w:rsidR="00B27E2F" w:rsidRPr="00511C2F" w:rsidRDefault="00B27E2F" w:rsidP="00B27E2F">
            <w:pPr>
              <w:numPr>
                <w:ilvl w:val="0"/>
                <w:numId w:val="18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val="de-DE"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Obsługa dysków 22.5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Gbps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SAS, 12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Gbps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SAS, and 6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Gbps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SATA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>/SAS</w:t>
            </w:r>
          </w:p>
        </w:tc>
        <w:tc>
          <w:tcPr>
            <w:tcW w:w="1456" w:type="pct"/>
          </w:tcPr>
          <w:p w14:paraId="2E63091B" w14:textId="49734DE8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val="de-DE"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B27E2F" w:rsidRPr="00511C2F" w14:paraId="272D8BF5" w14:textId="28612B40" w:rsidTr="00B27E2F">
        <w:tc>
          <w:tcPr>
            <w:tcW w:w="936" w:type="pct"/>
          </w:tcPr>
          <w:p w14:paraId="2B93688E" w14:textId="3F4C5893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Dyski twarde</w:t>
            </w:r>
          </w:p>
        </w:tc>
        <w:tc>
          <w:tcPr>
            <w:tcW w:w="2608" w:type="pct"/>
          </w:tcPr>
          <w:p w14:paraId="6EEECB01" w14:textId="77777777" w:rsidR="00B27E2F" w:rsidRPr="00511C2F" w:rsidRDefault="00B27E2F" w:rsidP="00B27E2F">
            <w:pPr>
              <w:pStyle w:val="Akapitzlist"/>
              <w:numPr>
                <w:ilvl w:val="0"/>
                <w:numId w:val="18"/>
              </w:numPr>
              <w:spacing w:line="252" w:lineRule="auto"/>
              <w:rPr>
                <w:rFonts w:ascii="Arial" w:hAnsi="Arial" w:cs="Arial"/>
                <w:sz w:val="17"/>
                <w:szCs w:val="17"/>
                <w:lang w:val="de-DE"/>
              </w:rPr>
            </w:pPr>
            <w:proofErr w:type="spellStart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>Zainstalowane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 xml:space="preserve">: </w:t>
            </w:r>
          </w:p>
          <w:p w14:paraId="59EEC9C4" w14:textId="77777777" w:rsidR="00B27E2F" w:rsidRPr="00511C2F" w:rsidRDefault="00B27E2F" w:rsidP="00B27E2F">
            <w:pPr>
              <w:pStyle w:val="Akapitzlist"/>
              <w:numPr>
                <w:ilvl w:val="1"/>
                <w:numId w:val="18"/>
              </w:numPr>
              <w:spacing w:line="252" w:lineRule="auto"/>
              <w:rPr>
                <w:rFonts w:ascii="Arial" w:hAnsi="Arial" w:cs="Arial"/>
                <w:sz w:val="17"/>
                <w:szCs w:val="17"/>
                <w:lang w:val="de-DE"/>
              </w:rPr>
            </w:pPr>
            <w:proofErr w:type="spellStart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>4x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>dysk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 xml:space="preserve"> SSD SATA o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>pojemności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  <w:lang w:val="de-DE"/>
              </w:rPr>
              <w:t xml:space="preserve"> min. 1.92TB, Hot-Plug</w:t>
            </w:r>
          </w:p>
          <w:p w14:paraId="511ED711" w14:textId="38BF4D54" w:rsidR="00B27E2F" w:rsidRPr="00511C2F" w:rsidRDefault="00B27E2F" w:rsidP="00B27E2F">
            <w:pPr>
              <w:numPr>
                <w:ilvl w:val="0"/>
                <w:numId w:val="11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val="de-DE"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Możliwość zainstalowania dwóch dysków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M.2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NVMe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SSD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o pojemności min. 960GB Hot-Plug z możliwością konfiguracji RAID 1.</w:t>
            </w:r>
          </w:p>
        </w:tc>
        <w:tc>
          <w:tcPr>
            <w:tcW w:w="1456" w:type="pct"/>
          </w:tcPr>
          <w:p w14:paraId="32C4F2F1" w14:textId="4D65B896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359E12FD" w14:textId="48A8E656" w:rsidTr="00B27E2F">
        <w:tc>
          <w:tcPr>
            <w:tcW w:w="936" w:type="pct"/>
          </w:tcPr>
          <w:p w14:paraId="195EF53F" w14:textId="1E06634A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Gniazda PCI</w:t>
            </w:r>
          </w:p>
        </w:tc>
        <w:tc>
          <w:tcPr>
            <w:tcW w:w="2608" w:type="pct"/>
          </w:tcPr>
          <w:p w14:paraId="0EAD9E49" w14:textId="761BC434" w:rsidR="00B27E2F" w:rsidRPr="00511C2F" w:rsidRDefault="00B27E2F" w:rsidP="00B27E2F">
            <w:pPr>
              <w:numPr>
                <w:ilvl w:val="0"/>
                <w:numId w:val="13"/>
              </w:numPr>
              <w:spacing w:after="0" w:line="276" w:lineRule="auto"/>
              <w:contextualSpacing/>
              <w:rPr>
                <w:rFonts w:ascii="Arial" w:eastAsia="Calibri" w:hAnsi="Arial" w:cs="Arial"/>
                <w:color w:val="000000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Dwa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sloty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PCIe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FH</w:t>
            </w:r>
            <w:proofErr w:type="spellEnd"/>
          </w:p>
        </w:tc>
        <w:tc>
          <w:tcPr>
            <w:tcW w:w="1456" w:type="pct"/>
          </w:tcPr>
          <w:p w14:paraId="12994278" w14:textId="5ABACEF2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0AD5BF1A" w14:textId="1C97A52D" w:rsidTr="00B27E2F">
        <w:tc>
          <w:tcPr>
            <w:tcW w:w="936" w:type="pct"/>
          </w:tcPr>
          <w:p w14:paraId="0C4B3DCB" w14:textId="2242F32E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val="de-DE"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Interfejsy sieciowe/FC/SAS</w:t>
            </w:r>
          </w:p>
        </w:tc>
        <w:tc>
          <w:tcPr>
            <w:tcW w:w="2608" w:type="pct"/>
          </w:tcPr>
          <w:p w14:paraId="679644AE" w14:textId="7D7801F3" w:rsidR="00B27E2F" w:rsidRPr="00511C2F" w:rsidRDefault="00B27E2F" w:rsidP="00B27E2F">
            <w:pPr>
              <w:numPr>
                <w:ilvl w:val="0"/>
                <w:numId w:val="12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4 interfejsy sieciowe 1Gb Ethernet w standardzie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BaseT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(porty nie mogą być osiągnięte poprzez karty w slotach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PCIe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>)</w:t>
            </w:r>
          </w:p>
        </w:tc>
        <w:tc>
          <w:tcPr>
            <w:tcW w:w="1456" w:type="pct"/>
          </w:tcPr>
          <w:p w14:paraId="00A86FF1" w14:textId="22BFDA5E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766C2A29" w14:textId="58DB13B1" w:rsidTr="00B27E2F">
        <w:tc>
          <w:tcPr>
            <w:tcW w:w="936" w:type="pct"/>
          </w:tcPr>
          <w:p w14:paraId="4510ED89" w14:textId="7FEFCA19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val="de-DE" w:eastAsia="en-US"/>
              </w:rPr>
            </w:pPr>
            <w:proofErr w:type="spellStart"/>
            <w:r w:rsidRPr="00511C2F">
              <w:rPr>
                <w:rFonts w:ascii="Arial" w:hAnsi="Arial" w:cs="Arial"/>
                <w:b/>
                <w:sz w:val="20"/>
                <w:szCs w:val="20"/>
                <w:lang w:val="de-DE"/>
              </w:rPr>
              <w:t>Wbudowane</w:t>
            </w:r>
            <w:proofErr w:type="spellEnd"/>
            <w:r w:rsidRPr="00511C2F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511C2F">
              <w:rPr>
                <w:rFonts w:ascii="Arial" w:hAnsi="Arial" w:cs="Arial"/>
                <w:b/>
                <w:sz w:val="20"/>
                <w:szCs w:val="20"/>
                <w:lang w:val="de-DE"/>
              </w:rPr>
              <w:t>porty</w:t>
            </w:r>
            <w:proofErr w:type="spellEnd"/>
          </w:p>
        </w:tc>
        <w:tc>
          <w:tcPr>
            <w:tcW w:w="2608" w:type="pct"/>
          </w:tcPr>
          <w:p w14:paraId="2D2926FB" w14:textId="77777777" w:rsidR="00B27E2F" w:rsidRPr="00511C2F" w:rsidRDefault="00B27E2F" w:rsidP="00B27E2F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4 porty USB w tym min: </w:t>
            </w:r>
          </w:p>
          <w:p w14:paraId="1EC93571" w14:textId="77777777" w:rsidR="00B27E2F" w:rsidRPr="00511C2F" w:rsidRDefault="00B27E2F" w:rsidP="00B27E2F">
            <w:pPr>
              <w:pStyle w:val="Akapitzlist"/>
              <w:numPr>
                <w:ilvl w:val="1"/>
                <w:numId w:val="22"/>
              </w:numPr>
              <w:spacing w:line="240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1 port USB 2.0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Type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>-C</w:t>
            </w:r>
          </w:p>
          <w:p w14:paraId="2813E3C1" w14:textId="77777777" w:rsidR="00B27E2F" w:rsidRPr="00511C2F" w:rsidRDefault="00B27E2F" w:rsidP="00B27E2F">
            <w:pPr>
              <w:pStyle w:val="Akapitzlist"/>
              <w:numPr>
                <w:ilvl w:val="1"/>
                <w:numId w:val="22"/>
              </w:numPr>
              <w:spacing w:line="240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2 porty USB 3.1  </w:t>
            </w:r>
          </w:p>
          <w:p w14:paraId="1E152354" w14:textId="77777777" w:rsidR="00B27E2F" w:rsidRPr="00511C2F" w:rsidRDefault="00B27E2F" w:rsidP="00B27E2F">
            <w:pPr>
              <w:pStyle w:val="Akapitzlist"/>
              <w:numPr>
                <w:ilvl w:val="1"/>
                <w:numId w:val="22"/>
              </w:numPr>
              <w:spacing w:line="240" w:lineRule="auto"/>
              <w:rPr>
                <w:rFonts w:ascii="Arial" w:hAnsi="Arial" w:cs="Arial"/>
                <w:sz w:val="17"/>
                <w:szCs w:val="17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1 port USB 3.0 wewnątrz obudowy</w:t>
            </w:r>
          </w:p>
          <w:p w14:paraId="3575773D" w14:textId="2BF91A8B" w:rsidR="00B27E2F" w:rsidRPr="00511C2F" w:rsidRDefault="00B27E2F" w:rsidP="00B27E2F">
            <w:pPr>
              <w:numPr>
                <w:ilvl w:val="0"/>
                <w:numId w:val="12"/>
              </w:numPr>
              <w:spacing w:after="0" w:line="276" w:lineRule="auto"/>
              <w:contextualSpacing/>
              <w:rPr>
                <w:rFonts w:ascii="Arial" w:eastAsia="Calibri" w:hAnsi="Arial" w:cs="Arial"/>
                <w:color w:val="000000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Port VGA z tyłu obudowy</w:t>
            </w:r>
          </w:p>
        </w:tc>
        <w:tc>
          <w:tcPr>
            <w:tcW w:w="1456" w:type="pct"/>
          </w:tcPr>
          <w:p w14:paraId="678F4E68" w14:textId="049F88E2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20CC5074" w14:textId="7FBFE0AA" w:rsidTr="00B27E2F">
        <w:tc>
          <w:tcPr>
            <w:tcW w:w="936" w:type="pct"/>
          </w:tcPr>
          <w:p w14:paraId="2E9A6048" w14:textId="0E7C15D9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  <w:lang w:val="de-DE"/>
              </w:rPr>
              <w:t>Video</w:t>
            </w:r>
          </w:p>
        </w:tc>
        <w:tc>
          <w:tcPr>
            <w:tcW w:w="2608" w:type="pct"/>
          </w:tcPr>
          <w:p w14:paraId="736C6785" w14:textId="495EE705" w:rsidR="00B27E2F" w:rsidRPr="00511C2F" w:rsidRDefault="00B27E2F" w:rsidP="00B27E2F">
            <w:pPr>
              <w:numPr>
                <w:ilvl w:val="0"/>
                <w:numId w:val="12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Zintegrowana karta graficzna umożliwiająca wyświetlenie rozdzielczości min. 1920x1200</w:t>
            </w:r>
          </w:p>
        </w:tc>
        <w:tc>
          <w:tcPr>
            <w:tcW w:w="1456" w:type="pct"/>
          </w:tcPr>
          <w:p w14:paraId="7F1AE7BE" w14:textId="63F521B7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7234CE71" w14:textId="46396C51" w:rsidTr="00B27E2F">
        <w:tc>
          <w:tcPr>
            <w:tcW w:w="936" w:type="pct"/>
          </w:tcPr>
          <w:p w14:paraId="593744C9" w14:textId="58D185B4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Zasilacze</w:t>
            </w:r>
          </w:p>
        </w:tc>
        <w:tc>
          <w:tcPr>
            <w:tcW w:w="2608" w:type="pct"/>
          </w:tcPr>
          <w:p w14:paraId="3856BA46" w14:textId="790330E4" w:rsidR="00B27E2F" w:rsidRPr="00511C2F" w:rsidRDefault="00B27E2F" w:rsidP="00B27E2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Arial" w:eastAsia="Calibri" w:hAnsi="Arial" w:cs="Arial"/>
                <w:color w:val="000000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Redundantne, Hot-Plug min.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800W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klasy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Titanium</w:t>
            </w:r>
            <w:proofErr w:type="spellEnd"/>
          </w:p>
        </w:tc>
        <w:tc>
          <w:tcPr>
            <w:tcW w:w="1456" w:type="pct"/>
          </w:tcPr>
          <w:p w14:paraId="23FD48DA" w14:textId="0BE34506" w:rsidR="00B27E2F" w:rsidRPr="00511C2F" w:rsidRDefault="00511C2F" w:rsidP="00B27E2F">
            <w:pPr>
              <w:autoSpaceDE w:val="0"/>
              <w:autoSpaceDN w:val="0"/>
              <w:adjustRightInd w:val="0"/>
              <w:spacing w:after="0" w:line="276" w:lineRule="auto"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61A678E4" w14:textId="46E09C7A" w:rsidTr="00B27E2F">
        <w:tc>
          <w:tcPr>
            <w:tcW w:w="936" w:type="pct"/>
          </w:tcPr>
          <w:p w14:paraId="6EE0BC09" w14:textId="0A778741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t>Elementy montażowe</w:t>
            </w:r>
          </w:p>
        </w:tc>
        <w:tc>
          <w:tcPr>
            <w:tcW w:w="2608" w:type="pct"/>
          </w:tcPr>
          <w:p w14:paraId="34D16F45" w14:textId="268C75CC" w:rsidR="00B27E2F" w:rsidRPr="00511C2F" w:rsidRDefault="00B27E2F" w:rsidP="00B27E2F">
            <w:pPr>
              <w:autoSpaceDE w:val="0"/>
              <w:autoSpaceDN w:val="0"/>
              <w:adjustRightInd w:val="0"/>
              <w:spacing w:after="0" w:line="276" w:lineRule="auto"/>
              <w:ind w:left="720"/>
              <w:rPr>
                <w:rFonts w:ascii="Arial" w:eastAsia="Calibri" w:hAnsi="Arial" w:cs="Arial"/>
                <w:color w:val="000000"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 xml:space="preserve">Komplet wysuwanych szyn umożliwiających montaż w szafie </w:t>
            </w:r>
            <w:proofErr w:type="spellStart"/>
            <w:r w:rsidRPr="00511C2F">
              <w:rPr>
                <w:rFonts w:ascii="Arial" w:hAnsi="Arial" w:cs="Arial"/>
                <w:sz w:val="17"/>
                <w:szCs w:val="17"/>
              </w:rPr>
              <w:t>rack</w:t>
            </w:r>
            <w:proofErr w:type="spellEnd"/>
            <w:r w:rsidRPr="00511C2F">
              <w:rPr>
                <w:rFonts w:ascii="Arial" w:hAnsi="Arial" w:cs="Arial"/>
                <w:sz w:val="17"/>
                <w:szCs w:val="17"/>
              </w:rPr>
              <w:t xml:space="preserve"> i wysuwanie serwera do celów serwisowych</w:t>
            </w:r>
          </w:p>
        </w:tc>
        <w:tc>
          <w:tcPr>
            <w:tcW w:w="1456" w:type="pct"/>
          </w:tcPr>
          <w:p w14:paraId="31DFC086" w14:textId="1122BEB2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642D2A3E" w14:textId="6FE9A41A" w:rsidTr="00B27E2F">
        <w:tc>
          <w:tcPr>
            <w:tcW w:w="936" w:type="pct"/>
          </w:tcPr>
          <w:p w14:paraId="4A789FF7" w14:textId="758FDAE3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t>System operacyjny/dodatkowe oprogramowanie</w:t>
            </w:r>
          </w:p>
        </w:tc>
        <w:tc>
          <w:tcPr>
            <w:tcW w:w="2608" w:type="pct"/>
          </w:tcPr>
          <w:p w14:paraId="20688118" w14:textId="2ACD371E" w:rsidR="00B27E2F" w:rsidRPr="00511C2F" w:rsidRDefault="00B27E2F" w:rsidP="00B27E2F">
            <w:pPr>
              <w:numPr>
                <w:ilvl w:val="0"/>
                <w:numId w:val="9"/>
              </w:numPr>
              <w:spacing w:after="0" w:line="276" w:lineRule="auto"/>
              <w:contextualSpacing/>
              <w:textAlignment w:val="baseline"/>
              <w:rPr>
                <w:rFonts w:ascii="Arial" w:eastAsia="Calibri" w:hAnsi="Arial" w:cs="Arial"/>
                <w:bCs/>
                <w:sz w:val="17"/>
                <w:szCs w:val="17"/>
                <w:lang w:eastAsia="en-US"/>
              </w:rPr>
            </w:pPr>
            <w:r w:rsidRPr="00511C2F">
              <w:rPr>
                <w:rFonts w:ascii="Arial" w:hAnsi="Arial" w:cs="Arial"/>
                <w:sz w:val="17"/>
                <w:szCs w:val="17"/>
              </w:rPr>
              <w:t>Windows Server 2025 Standard</w:t>
            </w:r>
          </w:p>
        </w:tc>
        <w:tc>
          <w:tcPr>
            <w:tcW w:w="1456" w:type="pct"/>
          </w:tcPr>
          <w:p w14:paraId="714967F6" w14:textId="094DEECE" w:rsidR="00B27E2F" w:rsidRPr="00511C2F" w:rsidRDefault="00511C2F" w:rsidP="00B27E2F">
            <w:pPr>
              <w:spacing w:after="0" w:line="276" w:lineRule="auto"/>
              <w:contextualSpacing/>
              <w:textAlignment w:val="baseline"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64849AFB" w14:textId="28264593" w:rsidTr="00B27E2F">
        <w:tc>
          <w:tcPr>
            <w:tcW w:w="936" w:type="pct"/>
          </w:tcPr>
          <w:p w14:paraId="33BA7307" w14:textId="1DC84F18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t>Bezpieczeństwo</w:t>
            </w:r>
            <w:r w:rsidRPr="00511C2F">
              <w:rPr>
                <w:rFonts w:ascii="Arial" w:hAnsi="Arial" w:cs="Arial"/>
                <w:sz w:val="20"/>
                <w:szCs w:val="20"/>
                <w:lang w:eastAsia="zh-CN"/>
              </w:rPr>
              <w:t xml:space="preserve"> </w:t>
            </w:r>
          </w:p>
        </w:tc>
        <w:tc>
          <w:tcPr>
            <w:tcW w:w="2608" w:type="pct"/>
          </w:tcPr>
          <w:p w14:paraId="288F135A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Zatrzask górnej pokrywy oraz blokada na ramce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panela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zamykana na klucz służąca do ochrony nieautoryzowanego dostępu do dysków twardych. </w:t>
            </w:r>
          </w:p>
          <w:p w14:paraId="13E6300D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Wbudowany w serwer mechanizm pozwalający na weryfikację niezmienności konfiguracji sprzętowej serwera od momentu produkcji do dostawy do docelowej </w:t>
            </w: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lokalizacji. Mechanizm ma również pozwalać na kontrolę otwarcia urządzenia w trakcie transportu, niezależnie od stanu zasilania.</w:t>
            </w:r>
          </w:p>
          <w:p w14:paraId="00CE19B9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wyłączenia w BIOS funkcji przycisku zasilania. </w:t>
            </w:r>
          </w:p>
          <w:p w14:paraId="7DBD8E1E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BIOS ma możliwość przejścia do bezpiecznego trybu rozruchowego z możliwością zarządzania blokadą zasilania, panelem sterowania oraz zmianą hasła </w:t>
            </w:r>
          </w:p>
          <w:p w14:paraId="6C0212C7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Wbudowany czujnik otwarcia obudowy współpracujący z BIOS i kartą zarządzającą. </w:t>
            </w:r>
          </w:p>
          <w:p w14:paraId="269747AB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Moduł TPM 2.0</w:t>
            </w:r>
          </w:p>
          <w:p w14:paraId="14A529D7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bCs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dynamicznego włączania i wyłączania portów USB na obudowie – bez potrzeby restartu serwera</w:t>
            </w:r>
          </w:p>
          <w:p w14:paraId="1F42D1DB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rial" w:hAnsi="Arial" w:cs="Arial"/>
                <w:bCs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wymazania danych ze znajdujących się dysków wewnątrz serwera – niezależne od zainstalowanego systemu operacyjnego, uruchamiane z poziomu zarządzania serwerem</w:t>
            </w:r>
          </w:p>
          <w:p w14:paraId="151F1566" w14:textId="13454374" w:rsidR="00B27E2F" w:rsidRPr="00160031" w:rsidRDefault="00B27E2F" w:rsidP="00B27E2F">
            <w:pPr>
              <w:numPr>
                <w:ilvl w:val="1"/>
                <w:numId w:val="10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bCs/>
                <w:sz w:val="17"/>
                <w:szCs w:val="17"/>
              </w:rPr>
              <w:t xml:space="preserve"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 </w:t>
            </w:r>
          </w:p>
        </w:tc>
        <w:tc>
          <w:tcPr>
            <w:tcW w:w="1456" w:type="pct"/>
          </w:tcPr>
          <w:p w14:paraId="5F47DFF5" w14:textId="2BA93636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B27E2F" w:rsidRPr="00511C2F" w14:paraId="449F0ADB" w14:textId="6367A5C0" w:rsidTr="00B27E2F">
        <w:tc>
          <w:tcPr>
            <w:tcW w:w="936" w:type="pct"/>
          </w:tcPr>
          <w:p w14:paraId="4E3A807A" w14:textId="10205B02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t>Karta Zarządzania</w:t>
            </w:r>
          </w:p>
        </w:tc>
        <w:tc>
          <w:tcPr>
            <w:tcW w:w="2608" w:type="pct"/>
          </w:tcPr>
          <w:p w14:paraId="445009F5" w14:textId="77777777" w:rsidR="00B27E2F" w:rsidRPr="00160031" w:rsidRDefault="00B27E2F" w:rsidP="00B27E2F">
            <w:pPr>
              <w:pStyle w:val="Akapitzlist"/>
              <w:numPr>
                <w:ilvl w:val="0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Niezależna od zainstalowanego na serwerze systemu operacyjnego posiadająca dedykowane port RJ-45 Gigabit Ethernet umożliwiająca: </w:t>
            </w:r>
          </w:p>
          <w:p w14:paraId="4D9AD89D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zdalny dostęp do graficznego interfejsu Web karty zarządzającej </w:t>
            </w:r>
          </w:p>
          <w:p w14:paraId="4874EC5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szyfrowane połączenie (TLS) oraz autentykacje i autoryzację użytkownika </w:t>
            </w:r>
          </w:p>
          <w:p w14:paraId="489C396C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podmontowania zdalnych wirtualnych napędów </w:t>
            </w:r>
          </w:p>
          <w:p w14:paraId="2C53C053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wirtualną konsolę z dostępem do myszy, klawiatury </w:t>
            </w:r>
          </w:p>
          <w:p w14:paraId="2405ECB2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wsparcie dla IPv6 </w:t>
            </w:r>
          </w:p>
          <w:p w14:paraId="12563984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wsparcie dla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SNMP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;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IPMI2.0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VLAN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tagging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SSH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</w:p>
          <w:p w14:paraId="10E9300F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zdalnego monitorowania w czasie rzeczywistym poboru prądu przez serwer </w:t>
            </w:r>
          </w:p>
          <w:p w14:paraId="5CE55E47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zdalnego ustawienia limitu poboru prądu przez konkretny serwer </w:t>
            </w:r>
          </w:p>
          <w:p w14:paraId="665EB7C9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integracja z Active Directory </w:t>
            </w:r>
          </w:p>
          <w:p w14:paraId="5ABD8CBC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obsługi przez sześciu administratorów jednocześnie </w:t>
            </w:r>
          </w:p>
          <w:p w14:paraId="34CCE5A9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 xml:space="preserve">Wsparcie dla automatycznej rejestracji DNS </w:t>
            </w:r>
          </w:p>
          <w:p w14:paraId="3393444F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wsparcie dla LLDP </w:t>
            </w:r>
          </w:p>
          <w:p w14:paraId="33B06237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wysyłanie do administratora maila z powiadomieniem o awarii lub zmianie konfiguracji sprzętowej </w:t>
            </w:r>
          </w:p>
          <w:p w14:paraId="10B4B7D1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zarządzania bezpośredniego poprzez złącze USB umieszczone na froncie obudowy. </w:t>
            </w:r>
          </w:p>
          <w:p w14:paraId="7FFC8C9C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Monitorowanie zużycia dysków SSD </w:t>
            </w:r>
          </w:p>
          <w:p w14:paraId="16AB4C03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Automatyczne zgłaszanie alertów do centrum serwisowego producenta </w:t>
            </w:r>
          </w:p>
          <w:p w14:paraId="448FD4FF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Automatyczne update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dla wszystkich komponentów serwera </w:t>
            </w:r>
          </w:p>
          <w:p w14:paraId="5CEB268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przywrócenia poprzednich wersji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</w:p>
          <w:p w14:paraId="44321ED3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eksportu eksportu/importu konfiguracji (ustawienie karty zarządzającej,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BIOSu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kart sieciowych,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HBA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oraz konfiguracji kontrolera RAID) serwera do pliku XML lub JSON </w:t>
            </w:r>
          </w:p>
          <w:p w14:paraId="51D56250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zaimportowania ustawień, poprzez bezpośrednie podłączenie plików konfiguracyjnych </w:t>
            </w:r>
          </w:p>
          <w:p w14:paraId="022972D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Automatyczne tworzenie kopii ustawień serwera w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opraciu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o harmonogram. </w:t>
            </w:r>
          </w:p>
          <w:p w14:paraId="0B27DC3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wykrywania odchyleń konfiguracji na poziomie konfiguracji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UEFI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oraz wersji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serwera</w:t>
            </w:r>
          </w:p>
          <w:p w14:paraId="13387E6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kontrola stanu BIOS pod kątem naruszenia integralności oprogramowania</w:t>
            </w:r>
          </w:p>
          <w:p w14:paraId="79562460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modyfikacji reguł chłodzenia kart w slotach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PCIe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z możliwością własnych ustawień</w:t>
            </w:r>
          </w:p>
          <w:p w14:paraId="78BE6833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ustawienia limitu temperatury powietrza wychodzącego z serwera</w:t>
            </w:r>
          </w:p>
          <w:p w14:paraId="3BB075B9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ustawienia dopuszczalnego wzrostu temperatury powietrza przepływającego przez serwer</w:t>
            </w:r>
          </w:p>
          <w:p w14:paraId="7BA1042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ustawienia maksymalnej temperatury powietrza dochodzącego do slotów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PCIe</w:t>
            </w:r>
            <w:proofErr w:type="spellEnd"/>
          </w:p>
          <w:p w14:paraId="6B297D72" w14:textId="77777777" w:rsidR="00B27E2F" w:rsidRPr="00160031" w:rsidRDefault="00B27E2F" w:rsidP="00B27E2F">
            <w:pPr>
              <w:spacing w:after="0" w:line="256" w:lineRule="auto"/>
              <w:ind w:left="108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rozszerzenia funkcjonalności o:</w:t>
            </w:r>
          </w:p>
          <w:p w14:paraId="31BE75A0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wysyłania danych o stanie procesora, kart sieciowych, zasilaczy, kart GPU, lokalnych dysków i urządzeń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NVMe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jak również dane wydajnościowe serwera do zewnętrznych narzędzi analitycznych jak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Splunk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Grafana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ElasticSearch</w:t>
            </w:r>
            <w:proofErr w:type="spellEnd"/>
          </w:p>
          <w:p w14:paraId="72B354A9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 xml:space="preserve">możliwość wykorzystania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tokenu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lub aplikacji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SecurID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do uwierzytelniania wielkoskładnikowego przy logowaniu do karty zarządzającej</w:t>
            </w:r>
          </w:p>
          <w:p w14:paraId="64C3D9E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Automatyczne odświeżanie certyfikatów SSL</w:t>
            </w:r>
          </w:p>
          <w:p w14:paraId="23F9E3A6" w14:textId="488BF665" w:rsidR="00B27E2F" w:rsidRPr="00160031" w:rsidRDefault="00B27E2F" w:rsidP="00B27E2F">
            <w:pPr>
              <w:numPr>
                <w:ilvl w:val="1"/>
                <w:numId w:val="10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monitorowanie przepływu powietrza na bieżąco (w CFM)</w:t>
            </w:r>
          </w:p>
        </w:tc>
        <w:tc>
          <w:tcPr>
            <w:tcW w:w="1456" w:type="pct"/>
          </w:tcPr>
          <w:p w14:paraId="1A4E983C" w14:textId="5A05FC2A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B27E2F" w:rsidRPr="00511C2F" w14:paraId="5B319374" w14:textId="5432F556" w:rsidTr="00B27E2F">
        <w:tc>
          <w:tcPr>
            <w:tcW w:w="936" w:type="pct"/>
          </w:tcPr>
          <w:p w14:paraId="24704C33" w14:textId="3C785B5B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bCs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Oprogramowanie do zarządzania</w:t>
            </w:r>
          </w:p>
        </w:tc>
        <w:tc>
          <w:tcPr>
            <w:tcW w:w="2608" w:type="pct"/>
          </w:tcPr>
          <w:p w14:paraId="705583A7" w14:textId="77777777" w:rsidR="00B27E2F" w:rsidRPr="00160031" w:rsidRDefault="00B27E2F" w:rsidP="00B27E2F">
            <w:pPr>
              <w:pStyle w:val="Akapitzlist"/>
              <w:numPr>
                <w:ilvl w:val="0"/>
                <w:numId w:val="9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zainstalowania oprogramowania producenta do zarządzania, spełniającego poniższe wymagania:</w:t>
            </w:r>
          </w:p>
          <w:p w14:paraId="1BA89674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Wsparcie dla serwerów, urządzeń sieciowych oraz pamięci masowych</w:t>
            </w:r>
          </w:p>
          <w:p w14:paraId="2DA0B27D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integracja z Active Directory</w:t>
            </w:r>
          </w:p>
          <w:p w14:paraId="08EC30C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zarządzania dostarczonymi serwerami bez udziału dedykowanego agenta</w:t>
            </w:r>
          </w:p>
          <w:p w14:paraId="681884E1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Wsparcie dla protokołów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SNMP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IPMI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Linux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SSH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Redfish</w:t>
            </w:r>
            <w:proofErr w:type="spellEnd"/>
          </w:p>
          <w:p w14:paraId="0FAEA13B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uruchamiania procesu wykrywania urządzeń w oparciu o harmonogram</w:t>
            </w:r>
          </w:p>
          <w:p w14:paraId="396C00B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Szczegółowy opis wykrytych systemów oraz ich komponentów</w:t>
            </w:r>
          </w:p>
          <w:p w14:paraId="7F6453BA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eksportu raportu do CSV, HTML, XLS, PDF</w:t>
            </w:r>
          </w:p>
          <w:p w14:paraId="46ED1250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tworzenia własnych raportów w oparciu o wszystkie informacje zawarte w inwentarzu.</w:t>
            </w:r>
          </w:p>
          <w:p w14:paraId="0FE457C3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Grupowanie urządzeń w oparciu o kryteria użytkownika</w:t>
            </w:r>
          </w:p>
          <w:p w14:paraId="46079F5E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Tworzenie automatycznie grup urządzeń w oparciu o dowolny element konfiguracji serwera np. Nazwa, lokalizacja, system operacyjny, obsadzenie slotów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PCIe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pozostałego czasu gwarancji</w:t>
            </w:r>
          </w:p>
          <w:p w14:paraId="2D79B69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uruchamiania narzędzi zarządzających w poszczególnych urządzeniach</w:t>
            </w:r>
          </w:p>
          <w:p w14:paraId="315E5F60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Szybki podgląd stanu środowiska</w:t>
            </w:r>
          </w:p>
          <w:p w14:paraId="0C7DB94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Podsumowanie stanu dla każdego urządzenia</w:t>
            </w:r>
          </w:p>
          <w:p w14:paraId="4E396C4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Szczegółowy status urządzenia/elementu/komponentu</w:t>
            </w:r>
          </w:p>
          <w:p w14:paraId="0BFB9BF7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Generowanie alertów przy zmianie stanu urządzenia.</w:t>
            </w:r>
          </w:p>
          <w:p w14:paraId="4E9B00BC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Filtry raportów umożliwiające podgląd najważniejszych zdarzeń</w:t>
            </w:r>
          </w:p>
          <w:p w14:paraId="2B781A5E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Integracja z service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desk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producenta dostarczonej platformy sprzętowej</w:t>
            </w:r>
          </w:p>
          <w:p w14:paraId="39985B7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przejęcia zdalnego pulpitu</w:t>
            </w:r>
          </w:p>
          <w:p w14:paraId="24F9E3D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podmontowania wirtualnego napędu</w:t>
            </w:r>
          </w:p>
          <w:p w14:paraId="21A6490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Kreator umożliwiający dostosowanie akcji dla wybranych alertów</w:t>
            </w:r>
          </w:p>
          <w:p w14:paraId="034C8BE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importu plików MIB</w:t>
            </w:r>
          </w:p>
          <w:p w14:paraId="2A9FE82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Przesyłanie alertów „as-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is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” do innych konsol firm trzecich</w:t>
            </w:r>
          </w:p>
          <w:p w14:paraId="5399BB5E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definiowania ról administratorów</w:t>
            </w:r>
          </w:p>
          <w:p w14:paraId="4BB5F384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zdalnej aktualizacji oprogramowania wewnętrznego serwerów</w:t>
            </w:r>
          </w:p>
          <w:p w14:paraId="1E4BFE26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Aktualizacja oparta o wybranie źródła bibliotek (lokalna, on-line producenta oferowanego rozwiązania)</w:t>
            </w:r>
          </w:p>
          <w:p w14:paraId="6461C08F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instalacji oprogramowania wewnętrznego bez potrzeby instalacji agenta</w:t>
            </w:r>
          </w:p>
          <w:p w14:paraId="1525161A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automatycznego generowania i zgłaszania incydentów awarii bezpośrednio do centrum serwisowego producenta serwerów</w:t>
            </w:r>
          </w:p>
          <w:p w14:paraId="4ACDA95A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Moduł raportujący pozwalający na wygenerowanie następujących informacji: nr seryjne sprzętu, konfiguracja poszczególnych urządzeń, wersje oprogramowania wewnętrznego, obsadzenie slotów PCI i gniazd pamięci, informację o maszynach wirtualnych, aktualne informacje o stanie i poziomie gwarancji, adresy IP kart sieciowych, występujących alertów, MAC adresów kart sieciowych, stanie poszczególnych komponentów serwera.</w:t>
            </w:r>
          </w:p>
          <w:p w14:paraId="4EE6CD97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tworzenia sprzętowej konfiguracji bazowej i na jej podstawie weryfikacji środowiska w celu wykrycia rozbieżności.</w:t>
            </w:r>
          </w:p>
          <w:p w14:paraId="076A0947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Wdrażanie serwerów, rozwiązań modularnych oraz przełączników sieciowych w oparciu o profile</w:t>
            </w:r>
          </w:p>
          <w:p w14:paraId="09F2A018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migracji ustawień serwera wraz z wirtualnymi adresami sieciowymi (MAC, WWN, IQN) między urządzeniami.</w:t>
            </w:r>
          </w:p>
          <w:p w14:paraId="3BF46E25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Tworzenie gotowych paczek informacji umożliwiających zdiagnozowanie awarii urządzenia przez serwis producenta.</w:t>
            </w:r>
          </w:p>
          <w:p w14:paraId="2B32487A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Zdalne uruchamianie diagnostyki serwera.</w:t>
            </w:r>
          </w:p>
          <w:p w14:paraId="43132B4A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Dedykowana aplikacja na urządzenia mobilne integrująca się z wyżej opisanymi oprogramowaniem zarządzającym.</w:t>
            </w:r>
          </w:p>
          <w:p w14:paraId="51708DD9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Oprogramowanie dostarczane jako wirtualny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appliance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dla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KVM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ESXi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i Hyper-V.</w:t>
            </w:r>
          </w:p>
          <w:p w14:paraId="65FEA11C" w14:textId="77777777" w:rsidR="00B27E2F" w:rsidRPr="00160031" w:rsidRDefault="00B27E2F" w:rsidP="00B27E2F">
            <w:pPr>
              <w:pStyle w:val="Akapitzlist"/>
              <w:numPr>
                <w:ilvl w:val="1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 xml:space="preserve">Integracja z środowiskiem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VMware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vCenter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pozwalająca z konsoli/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plugin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:</w:t>
            </w:r>
          </w:p>
          <w:p w14:paraId="7477A2DC" w14:textId="77777777" w:rsidR="00B27E2F" w:rsidRPr="00160031" w:rsidRDefault="00B27E2F" w:rsidP="00B27E2F">
            <w:pPr>
              <w:pStyle w:val="Akapitzlist"/>
              <w:numPr>
                <w:ilvl w:val="2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wykonać zautomatyzowaną aktualizację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serwerów w </w:t>
            </w:r>
            <w:proofErr w:type="gramStart"/>
            <w:r w:rsidRPr="00160031">
              <w:rPr>
                <w:rFonts w:ascii="Arial" w:hAnsi="Arial" w:cs="Arial"/>
                <w:sz w:val="17"/>
                <w:szCs w:val="17"/>
              </w:rPr>
              <w:t>klastrze  Vmware</w:t>
            </w:r>
            <w:proofErr w:type="gramEnd"/>
            <w:r w:rsidRPr="00160031">
              <w:rPr>
                <w:rFonts w:ascii="Arial" w:hAnsi="Arial" w:cs="Arial"/>
                <w:sz w:val="17"/>
                <w:szCs w:val="17"/>
              </w:rPr>
              <w:t xml:space="preserve"> do zdefiniowanej polityki poziomu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mikrokodów</w:t>
            </w:r>
            <w:proofErr w:type="spellEnd"/>
          </w:p>
          <w:p w14:paraId="2CAFBD25" w14:textId="77777777" w:rsidR="00B27E2F" w:rsidRPr="00160031" w:rsidRDefault="00B27E2F" w:rsidP="00B27E2F">
            <w:pPr>
              <w:pStyle w:val="Akapitzlist"/>
              <w:numPr>
                <w:ilvl w:val="2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wykonać/zweryfikować konfigurację serwera zgodną ze zdefiniowaną polityka konfiguracji</w:t>
            </w:r>
          </w:p>
          <w:p w14:paraId="6CF80B95" w14:textId="77777777" w:rsidR="00B27E2F" w:rsidRPr="00160031" w:rsidRDefault="00B27E2F" w:rsidP="00B27E2F">
            <w:pPr>
              <w:pStyle w:val="Akapitzlist"/>
              <w:numPr>
                <w:ilvl w:val="2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z konsoli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vCenter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uruchomić zdalną konsolę graficzną serwera (nawet gdy nie jest uruchomiony na serwerze system operacyjny)</w:t>
            </w:r>
          </w:p>
          <w:p w14:paraId="02E1367D" w14:textId="77777777" w:rsidR="00B27E2F" w:rsidRPr="00160031" w:rsidRDefault="00B27E2F" w:rsidP="00B27E2F">
            <w:pPr>
              <w:pStyle w:val="Akapitzlist"/>
              <w:numPr>
                <w:ilvl w:val="2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inwentaryzacja komponentów w serwerze i ich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mikrokodów</w:t>
            </w:r>
            <w:proofErr w:type="spellEnd"/>
          </w:p>
          <w:p w14:paraId="14F4077E" w14:textId="77777777" w:rsidR="00B27E2F" w:rsidRPr="00160031" w:rsidRDefault="00B27E2F" w:rsidP="00B27E2F">
            <w:pPr>
              <w:pStyle w:val="Akapitzlist"/>
              <w:numPr>
                <w:ilvl w:val="2"/>
                <w:numId w:val="10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historia poboru mocy i temperatury serwera</w:t>
            </w:r>
          </w:p>
          <w:p w14:paraId="03A139C3" w14:textId="70D03B73" w:rsidR="00B27E2F" w:rsidRPr="00160031" w:rsidRDefault="00B27E2F" w:rsidP="00B27E2F">
            <w:pPr>
              <w:numPr>
                <w:ilvl w:val="1"/>
                <w:numId w:val="16"/>
              </w:numPr>
              <w:spacing w:after="0" w:line="276" w:lineRule="auto"/>
              <w:contextualSpacing/>
              <w:textAlignment w:val="baseline"/>
              <w:rPr>
                <w:rFonts w:ascii="Arial" w:hAnsi="Arial" w:cs="Arial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zbieranie danych diagnostycznych serwera do paczki serwisowej</w:t>
            </w:r>
          </w:p>
        </w:tc>
        <w:tc>
          <w:tcPr>
            <w:tcW w:w="1456" w:type="pct"/>
          </w:tcPr>
          <w:p w14:paraId="41FABF48" w14:textId="6921BCA5" w:rsidR="00B27E2F" w:rsidRPr="00511C2F" w:rsidRDefault="00511C2F" w:rsidP="00B27E2F">
            <w:pPr>
              <w:spacing w:after="0" w:line="276" w:lineRule="auto"/>
              <w:rPr>
                <w:rFonts w:ascii="Arial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B27E2F" w:rsidRPr="00511C2F" w14:paraId="4FD3BC95" w14:textId="4B88FB3B" w:rsidTr="00B27E2F">
        <w:tc>
          <w:tcPr>
            <w:tcW w:w="936" w:type="pct"/>
          </w:tcPr>
          <w:p w14:paraId="17F2AA07" w14:textId="7F8590FA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Oprogramowanie do monitorowania</w:t>
            </w:r>
          </w:p>
        </w:tc>
        <w:tc>
          <w:tcPr>
            <w:tcW w:w="2608" w:type="pct"/>
          </w:tcPr>
          <w:p w14:paraId="4217BDBB" w14:textId="77777777" w:rsidR="00B27E2F" w:rsidRPr="00160031" w:rsidRDefault="00B27E2F" w:rsidP="00B27E2F">
            <w:p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Oparta na chmurze aplikacja Producenta oferowanego urządzenia, która zapewnia proaktywne monitorowanie i rozwiązywanie problemów infrastruktury IT oraz integrację z platformą wirtualizacji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VMware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. Zaproponowane rozwiązanie musi posiadać następujące funkcjonalności:</w:t>
            </w:r>
          </w:p>
          <w:p w14:paraId="23D692F7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Monitoring:</w:t>
            </w:r>
          </w:p>
          <w:p w14:paraId="79D0D403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ilość podłączonych oraz rozłączonych systemów</w:t>
            </w:r>
          </w:p>
          <w:p w14:paraId="5B625F77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stan podłączonych urządzeń </w:t>
            </w:r>
          </w:p>
          <w:p w14:paraId="67F5331E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informacje o potencjalnych zagrożeniach związanych z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cyberbezpieczeństwem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w oparciu o najlepsze praktyki i szczegółową analizę posiadanych systemów</w:t>
            </w:r>
          </w:p>
          <w:p w14:paraId="44B6EC66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Informacje o alertach z podziałem na minimum: krytyczne, błędy, ostrzeżenia</w:t>
            </w:r>
          </w:p>
          <w:p w14:paraId="3897F17A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informacje o statusie gwarancji dla poszczególnych urządzeń</w:t>
            </w:r>
          </w:p>
          <w:p w14:paraId="3817A8CB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informacje o stanie licencji na posiadane oprogramowanie rozszerzające funkcjonalności urządzeń </w:t>
            </w:r>
          </w:p>
          <w:p w14:paraId="7EB3348E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informacje w oparciu o dane historyczne umożliwiające określenie trendów krótko- i długoterminowej prognozy wykorzystania przestrzeni na pamięciach masowych.</w:t>
            </w:r>
          </w:p>
          <w:p w14:paraId="3BF4305C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Wykrywanie anomalii w oparciu o analizę zajętości przestrzeni na pamięciach masowych</w:t>
            </w:r>
          </w:p>
          <w:p w14:paraId="21F00E2B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Wykrywanie anomalii wydajnościowych w oparciu o uczenie maszynowe oraz porównanie parametrów historycznych i bieżących. Funkcjonalność ta musi wspierać serwery, urządzenia sieciowe oraz systemy pamięci masowych.</w:t>
            </w:r>
          </w:p>
          <w:p w14:paraId="115C4BCF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Monitorowanie wydajności, przepustowości oraz opóźnień dla systemy pamięci masowych.</w:t>
            </w:r>
          </w:p>
          <w:p w14:paraId="1CD502EB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Zaimplementowana analityka predykcyjna umożliwiająca określenie szacowanego czasu awarii dla optyki przełączników FC.</w:t>
            </w:r>
          </w:p>
          <w:p w14:paraId="32DDA61F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Szczegółowe informacje dla serwerów o modelu, konfiguracji, wersjach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poszczególnych komponentów adresacji IP karty zarządzającej.</w:t>
            </w:r>
          </w:p>
          <w:p w14:paraId="7C3AC84D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Monitoring parametrów serwerów z informacją o minimum:</w:t>
            </w:r>
          </w:p>
          <w:p w14:paraId="76233864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Obciążeniu procesora</w:t>
            </w:r>
          </w:p>
          <w:p w14:paraId="40374F70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Zużyciu pamięci RAM</w:t>
            </w:r>
          </w:p>
          <w:p w14:paraId="24EF3FF3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Temperaturze procesorów</w:t>
            </w:r>
          </w:p>
          <w:p w14:paraId="097512F7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Temperaturze powietrza wlotowego</w:t>
            </w:r>
          </w:p>
          <w:p w14:paraId="6B653E5B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Zużyciu prądu</w:t>
            </w:r>
          </w:p>
          <w:p w14:paraId="261624D8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Zmianach w fizycznej konfiguracji serwera</w:t>
            </w:r>
          </w:p>
          <w:p w14:paraId="3A9028A4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Dla wszystkich wymienionych parametrów muszą być dostępne dane historyczne oraz automatycznie generowana informacja o anomaliach.</w:t>
            </w:r>
          </w:p>
          <w:p w14:paraId="477401EE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Monitoring parametrów pamięci masowych z informacją o minimum:</w:t>
            </w:r>
          </w:p>
          <w:p w14:paraId="487AE5F2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Opóźnieniach</w:t>
            </w:r>
          </w:p>
          <w:p w14:paraId="2DD450A1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IOPS</w:t>
            </w:r>
          </w:p>
          <w:p w14:paraId="4525F08D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Przepustowości</w:t>
            </w:r>
          </w:p>
          <w:p w14:paraId="5B8A36AD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Utylizacji kontrolerów</w:t>
            </w:r>
          </w:p>
          <w:p w14:paraId="60606270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Pojemność całkowita i dostępna</w:t>
            </w:r>
          </w:p>
          <w:p w14:paraId="6CAD497D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Wszystkie informacje muszą być dostępne zarówno dla całej pamięci masowej jak i poszczególnych LUN-ów.</w:t>
            </w:r>
          </w:p>
          <w:p w14:paraId="4EE92257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Dla wszystkich wymienionych powyżej parametrów muszą być dostępne dane historyczne oraz automatycznie generowana informacja o anomaliach.</w:t>
            </w:r>
          </w:p>
          <w:p w14:paraId="60D74D07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Dane historyczne o wykorzystaniu przestrzeni pamięci masowej muszą być przechowywane co najmniej 2 lata</w:t>
            </w:r>
          </w:p>
          <w:p w14:paraId="3EB2F530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Informacje o poziomie redukcji danych</w:t>
            </w:r>
          </w:p>
          <w:p w14:paraId="7274FEA3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Informacje o statusie replikacji oraz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snapshotów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</w:p>
          <w:p w14:paraId="0D59A901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Monitoring parametrów przełączników sieciowych z informacją o minimum:</w:t>
            </w:r>
          </w:p>
          <w:p w14:paraId="43B55385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Modelu, oprogramowania, adresacji IP, MAC adres, nr seryjny</w:t>
            </w:r>
          </w:p>
          <w:p w14:paraId="1E51EC16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Stanie komponentów: zasilacze, wentylatory</w:t>
            </w:r>
          </w:p>
          <w:p w14:paraId="47DAC881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Podłączonych hostach</w:t>
            </w:r>
          </w:p>
          <w:p w14:paraId="2F4AE5C4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Ilości i statusu portów </w:t>
            </w:r>
          </w:p>
          <w:p w14:paraId="675D4F11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Utylizacji procesora</w:t>
            </w:r>
          </w:p>
          <w:p w14:paraId="01AF283B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Utylizacji poszczególnych portów</w:t>
            </w:r>
          </w:p>
          <w:p w14:paraId="37A705DF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Dla wszystkich wymienionych powyżej parametrów muszą być dostępne dane historyczne oraz automatycznie generowana informacja o anomaliach.</w:t>
            </w:r>
          </w:p>
          <w:p w14:paraId="1D991CD3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Aktualizacja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</w:p>
          <w:p w14:paraId="15F388D9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aktualizcji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oprogramowania zarządzającego dla systemów pamięci masowych, wraz z informacją o zalecanych wersjach oprogramowania</w:t>
            </w:r>
          </w:p>
          <w:p w14:paraId="3AD5972B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aktualizcji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oprogramowania zarządzającego dla serwerów, wraz z informacją o zalecanych wersjach oprogramowania</w:t>
            </w:r>
          </w:p>
          <w:p w14:paraId="2F151826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aktualizcji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oprogramowania zarządzającego dla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rozwiazań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HCI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wraz z informacją o zalecanych wersjach oprogramowania</w:t>
            </w:r>
          </w:p>
          <w:p w14:paraId="574C473D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aktualizcji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dla systemów przełączników FC, wraz z informacją o zalecanych wersjach oprogramowania</w:t>
            </w:r>
          </w:p>
          <w:p w14:paraId="2455DC68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aktualizcji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firmware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dla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deduplikatorów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>, wraz z informacją o zalecanych wersjach oprogramowania</w:t>
            </w:r>
          </w:p>
          <w:p w14:paraId="0CF5552E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Raporty</w:t>
            </w:r>
          </w:p>
          <w:p w14:paraId="3AD17F8E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generowania raportów dla serwerów zawierających informację o:</w:t>
            </w:r>
          </w:p>
          <w:p w14:paraId="12174D1F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Nazwie hosta, modelu serwera, nr serwisowym, dacie końca okresu kontraktu serwisowego, zainstalowanym systemie operacyjnym, protokole komunikacyjnym z systemem pamięci masowej</w:t>
            </w:r>
          </w:p>
          <w:p w14:paraId="22F64C45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Średnim obciążeniu: procesorów, pamięci RAM, IO,</w:t>
            </w:r>
          </w:p>
          <w:p w14:paraId="5DD8BAC5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generowania raportów dla systemów pamięci masowych zawierających informację o:</w:t>
            </w:r>
          </w:p>
          <w:p w14:paraId="5E821140" w14:textId="77777777" w:rsidR="00B27E2F" w:rsidRPr="00160031" w:rsidRDefault="00B27E2F" w:rsidP="00B27E2F">
            <w:pPr>
              <w:pStyle w:val="Akapitzlist"/>
              <w:numPr>
                <w:ilvl w:val="2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Nazwie, nr seryjnym, lokalizacji urządzenia, modelu urządzenia, wersji oprogramowania, zajętości systemu oraz poziomu redukcją danych, informacje o utworzonych LUN-ach i systemach pliku, status replikacji</w:t>
            </w:r>
          </w:p>
          <w:p w14:paraId="3EDC9D7D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Generowanie raportów do plików CSV i PDF</w:t>
            </w:r>
          </w:p>
          <w:p w14:paraId="3092AB10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Cyberbezpieczeństwo</w:t>
            </w:r>
            <w:proofErr w:type="spellEnd"/>
          </w:p>
          <w:p w14:paraId="05B958D0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Analiza środowiska w oparciu o najlepsze praktyki dotyczące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cyberbezpieczeństwa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sprawdzająca stan poszczególnych urządzeń w środowisku i przypisujący im odpowiedni wynik bezpieczeństwa. System musi informować administratora o wykrytych lukach bezpieczeństwa oraz sposobie ich zabezpieczenia.</w:t>
            </w:r>
          </w:p>
          <w:p w14:paraId="3290C86E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Musi istnieć możliwość tworzenia własnych polityk bezpieczeństwa w oparciu o wzorce dla poszczególnych urządzeń.</w:t>
            </w:r>
          </w:p>
          <w:p w14:paraId="7765E585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Stała analiza środowiska IT umożliwiająca wykrycie ataku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ransomware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na podstawie analizy posiadanych danych.</w:t>
            </w:r>
          </w:p>
          <w:p w14:paraId="1B231D0C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przypisania dedykowanych ról dla poszczególnych administratorów.</w:t>
            </w:r>
          </w:p>
          <w:p w14:paraId="2D1E2768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Wspierane urządzenia</w:t>
            </w:r>
          </w:p>
          <w:p w14:paraId="78DA96A5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Urządzenie Producenta dostarczane w ramach postępowania</w:t>
            </w:r>
          </w:p>
          <w:p w14:paraId="74D23E49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Posiadane przez Zamawiającego serwery, urządzenia pamięci masowych, przełączniki sieciowe, przełączniki SAN, rozwiązania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HCI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deduplikatory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Producenta oferowanego urządzenia (jeśli takie są w posiadaniu Zamawiającego)</w:t>
            </w:r>
          </w:p>
          <w:p w14:paraId="40AC6A95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Wirtualny asystent</w:t>
            </w:r>
          </w:p>
          <w:p w14:paraId="3181BDE8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Wbudowana w platformę funkcjonalność wirtualnego asystenta w oparciu o algorytmy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GenAI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przy dostępie do bazy wiedzy producenta urządzeń oraz analizie danych z monitoringu poszczególnych elementów infrastruktury;</w:t>
            </w:r>
          </w:p>
          <w:p w14:paraId="595F36B6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Możliwość rozszerzenia funkcjonalności</w:t>
            </w:r>
          </w:p>
          <w:p w14:paraId="34C2BE42" w14:textId="77777777" w:rsidR="00B27E2F" w:rsidRPr="00160031" w:rsidRDefault="00B27E2F" w:rsidP="00B27E2F">
            <w:pPr>
              <w:pStyle w:val="Akapitzlist"/>
              <w:numPr>
                <w:ilvl w:val="1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Możliwość rozbudowy systemu o zintegrowane i dodatkowe płatne moduły do monitoringu aplikacji oraz zarządzania incydentami w ramach infrastruktury IT.</w:t>
            </w:r>
          </w:p>
          <w:p w14:paraId="2E09B129" w14:textId="77777777" w:rsidR="00B27E2F" w:rsidRPr="00160031" w:rsidRDefault="00B27E2F" w:rsidP="00B27E2F">
            <w:pPr>
              <w:pStyle w:val="Akapitzlis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Inne</w:t>
            </w:r>
          </w:p>
          <w:p w14:paraId="20ED6F4E" w14:textId="44DE3ACD" w:rsidR="00B27E2F" w:rsidRPr="00160031" w:rsidRDefault="00B27E2F" w:rsidP="00B27E2F">
            <w:pPr>
              <w:numPr>
                <w:ilvl w:val="0"/>
                <w:numId w:val="15"/>
              </w:numPr>
              <w:spacing w:after="0" w:line="276" w:lineRule="auto"/>
              <w:contextualSpacing/>
              <w:rPr>
                <w:rFonts w:ascii="Arial" w:eastAsia="Calibri" w:hAnsi="Arial" w:cs="Arial"/>
                <w:color w:val="000000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Oferowana platforma musi posiadać dedykowaną aplikację na urządzenia iOS oraz Android</w:t>
            </w:r>
          </w:p>
        </w:tc>
        <w:tc>
          <w:tcPr>
            <w:tcW w:w="1456" w:type="pct"/>
          </w:tcPr>
          <w:p w14:paraId="611AEA9C" w14:textId="45BA6CFF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B27E2F" w:rsidRPr="00511C2F" w14:paraId="3B1B0600" w14:textId="60A75D41" w:rsidTr="00B27E2F">
        <w:trPr>
          <w:trHeight w:val="980"/>
        </w:trPr>
        <w:tc>
          <w:tcPr>
            <w:tcW w:w="936" w:type="pct"/>
          </w:tcPr>
          <w:p w14:paraId="08F67148" w14:textId="1C829A33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Certyfikaty</w:t>
            </w:r>
          </w:p>
        </w:tc>
        <w:tc>
          <w:tcPr>
            <w:tcW w:w="2608" w:type="pct"/>
          </w:tcPr>
          <w:p w14:paraId="59625431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Serwer musi być wyprodukowany zgodnie z normą ISO-9001:2015, ISO-50001 oraz ISO-14001</w:t>
            </w:r>
          </w:p>
          <w:p w14:paraId="2C44C873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Serwer musi posiadać deklaracja CE.</w:t>
            </w:r>
          </w:p>
          <w:p w14:paraId="27A10E34" w14:textId="6E758247" w:rsidR="00511C2F" w:rsidRPr="00160031" w:rsidRDefault="00B27E2F" w:rsidP="006149B6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Oferowane produkty muszą zawierać informacje dotyczące ponownego użycia i recyklingu, nie mogą zawierać farb i powłok na dużych plastikowych częściach, których nie da się poddać recyklingowi lub ponownie użyć. Wszystkie produkty zawierające podzespoły elektroniczne oraz niebezpieczne składniki powinny być bezpiecznie i łatwo identyfikowalne oraz usuwalne. Usunięcie materiałów i komponentów powinno odbywać się zgodnie z wymogami Dyrektywy WEEE 2002/96/EC. Produkty muszą składać się z co najmniej w 65% ze składników wielokrotnego użytku/zdatnych do recyklingu. We wszystkich produktach części tworzyw sztucznych większe niż 25-gramowe powinny zawierać nie więcej niż śladowe ilości środków zmniejszających palność sklasyfikowanych w dyrektywie RE 67/548/EEC. </w:t>
            </w:r>
            <w:r w:rsidR="00511C2F" w:rsidRPr="00160031">
              <w:rPr>
                <w:rFonts w:ascii="Arial" w:hAnsi="Arial" w:cs="Arial"/>
                <w:sz w:val="17"/>
                <w:szCs w:val="17"/>
              </w:rPr>
              <w:t xml:space="preserve">Weryfikacja spełnienia powyższych wymagań nastąpi na podstawie informacji dostępnych na stronie internetowej </w:t>
            </w:r>
            <w:hyperlink r:id="rId8" w:history="1">
              <w:r w:rsidR="006149B6" w:rsidRPr="00160031">
                <w:rPr>
                  <w:rStyle w:val="Hipercze"/>
                  <w:rFonts w:ascii="Arial" w:hAnsi="Arial" w:cs="Arial"/>
                  <w:sz w:val="17"/>
                  <w:szCs w:val="17"/>
                </w:rPr>
                <w:t>www.epeat.net</w:t>
              </w:r>
            </w:hyperlink>
            <w:r w:rsidR="006149B6"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r w:rsidR="00511C2F" w:rsidRPr="00160031">
              <w:rPr>
                <w:rFonts w:ascii="Arial" w:hAnsi="Arial" w:cs="Arial"/>
                <w:sz w:val="17"/>
                <w:szCs w:val="17"/>
              </w:rPr>
              <w:t xml:space="preserve">Oferowany produkt musi posiadać potwierdzenie spełniania normy co najmniej </w:t>
            </w:r>
            <w:proofErr w:type="spellStart"/>
            <w:r w:rsidR="00511C2F" w:rsidRPr="00160031">
              <w:rPr>
                <w:rFonts w:ascii="Arial" w:hAnsi="Arial" w:cs="Arial"/>
                <w:sz w:val="17"/>
                <w:szCs w:val="17"/>
              </w:rPr>
              <w:t>E</w:t>
            </w:r>
            <w:r w:rsidR="006149B6" w:rsidRPr="00160031">
              <w:rPr>
                <w:rFonts w:ascii="Arial" w:hAnsi="Arial" w:cs="Arial"/>
                <w:sz w:val="17"/>
                <w:szCs w:val="17"/>
              </w:rPr>
              <w:t>peat</w:t>
            </w:r>
            <w:proofErr w:type="spellEnd"/>
            <w:r w:rsidR="00511C2F" w:rsidRPr="00160031">
              <w:rPr>
                <w:rFonts w:ascii="Arial" w:hAnsi="Arial" w:cs="Arial"/>
                <w:sz w:val="17"/>
                <w:szCs w:val="17"/>
              </w:rPr>
              <w:t xml:space="preserve"> Silver, dla kraju, w którym produkt będzie użytkowany, zgodnie z normą obowiązującą od 2019 r.</w:t>
            </w:r>
          </w:p>
          <w:p w14:paraId="37866D47" w14:textId="6411E085" w:rsidR="00B27E2F" w:rsidRPr="00160031" w:rsidRDefault="00435516" w:rsidP="00B27E2F">
            <w:pPr>
              <w:numPr>
                <w:ilvl w:val="0"/>
                <w:numId w:val="15"/>
              </w:numPr>
              <w:spacing w:after="0" w:line="276" w:lineRule="auto"/>
              <w:contextualSpacing/>
              <w:rPr>
                <w:rFonts w:ascii="Arial" w:eastAsia="Calibri" w:hAnsi="Arial" w:cs="Arial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o</w:t>
            </w:r>
            <w:r w:rsidR="00B27E2F" w:rsidRPr="00160031">
              <w:rPr>
                <w:rFonts w:ascii="Arial" w:hAnsi="Arial" w:cs="Arial"/>
                <w:sz w:val="17"/>
                <w:szCs w:val="17"/>
              </w:rPr>
              <w:t xml:space="preserve">ferowany serwer musi znajdować się na liście Windows Server </w:t>
            </w:r>
            <w:proofErr w:type="spellStart"/>
            <w:r w:rsidR="00B27E2F" w:rsidRPr="00160031">
              <w:rPr>
                <w:rFonts w:ascii="Arial" w:hAnsi="Arial" w:cs="Arial"/>
                <w:sz w:val="17"/>
                <w:szCs w:val="17"/>
              </w:rPr>
              <w:t>Catalog</w:t>
            </w:r>
            <w:proofErr w:type="spellEnd"/>
            <w:r w:rsidR="00B27E2F" w:rsidRPr="00160031">
              <w:rPr>
                <w:rFonts w:ascii="Arial" w:hAnsi="Arial" w:cs="Arial"/>
                <w:sz w:val="17"/>
                <w:szCs w:val="17"/>
              </w:rPr>
              <w:t xml:space="preserve"> i posiadać status „</w:t>
            </w:r>
            <w:proofErr w:type="spellStart"/>
            <w:r w:rsidR="00B27E2F" w:rsidRPr="00160031">
              <w:rPr>
                <w:rFonts w:ascii="Arial" w:hAnsi="Arial" w:cs="Arial"/>
                <w:sz w:val="17"/>
                <w:szCs w:val="17"/>
              </w:rPr>
              <w:t>Certified</w:t>
            </w:r>
            <w:proofErr w:type="spellEnd"/>
            <w:r w:rsidR="00B27E2F" w:rsidRPr="00160031">
              <w:rPr>
                <w:rFonts w:ascii="Arial" w:hAnsi="Arial" w:cs="Arial"/>
                <w:sz w:val="17"/>
                <w:szCs w:val="17"/>
              </w:rPr>
              <w:t xml:space="preserve"> for Windows” dla systemów Microsoft Windows Server 2022, Microsoft Windows Server 2025.</w:t>
            </w:r>
          </w:p>
        </w:tc>
        <w:tc>
          <w:tcPr>
            <w:tcW w:w="1456" w:type="pct"/>
          </w:tcPr>
          <w:p w14:paraId="0FB166C0" w14:textId="06EA2D34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17623C18" w14:textId="23BF88F3" w:rsidTr="00B27E2F">
        <w:trPr>
          <w:trHeight w:val="230"/>
        </w:trPr>
        <w:tc>
          <w:tcPr>
            <w:tcW w:w="936" w:type="pct"/>
            <w:hideMark/>
          </w:tcPr>
          <w:p w14:paraId="16C1F33D" w14:textId="4FB4BF35" w:rsidR="00B27E2F" w:rsidRPr="00511C2F" w:rsidRDefault="00B27E2F" w:rsidP="00B27E2F">
            <w:pPr>
              <w:spacing w:after="0" w:line="276" w:lineRule="auto"/>
              <w:rPr>
                <w:rFonts w:ascii="Arial" w:eastAsia="Calibri" w:hAnsi="Arial" w:cs="Arial"/>
                <w:b/>
                <w:sz w:val="23"/>
                <w:szCs w:val="23"/>
                <w:lang w:eastAsia="en-US"/>
              </w:rPr>
            </w:pPr>
            <w:r w:rsidRPr="00511C2F">
              <w:rPr>
                <w:rFonts w:ascii="Arial" w:hAnsi="Arial" w:cs="Arial"/>
                <w:b/>
                <w:sz w:val="20"/>
                <w:szCs w:val="20"/>
              </w:rPr>
              <w:t>Dokumentacja użytkownika</w:t>
            </w:r>
          </w:p>
        </w:tc>
        <w:tc>
          <w:tcPr>
            <w:tcW w:w="2608" w:type="pct"/>
            <w:hideMark/>
          </w:tcPr>
          <w:p w14:paraId="0DAA6C09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Zamawiający wymaga dokumentacji w języku polskim lub angi</w:t>
            </w:r>
            <w:r w:rsidRPr="00160031">
              <w:rPr>
                <w:rFonts w:ascii="Arial" w:hAnsi="Arial" w:cs="Arial"/>
                <w:i/>
                <w:sz w:val="17"/>
                <w:szCs w:val="17"/>
              </w:rPr>
              <w:t>e</w:t>
            </w:r>
            <w:r w:rsidRPr="00160031">
              <w:rPr>
                <w:rFonts w:ascii="Arial" w:hAnsi="Arial" w:cs="Arial"/>
                <w:sz w:val="17"/>
                <w:szCs w:val="17"/>
              </w:rPr>
              <w:t>lskim.</w:t>
            </w:r>
          </w:p>
          <w:p w14:paraId="20C3ECDA" w14:textId="5DFF3B8E" w:rsidR="00B27E2F" w:rsidRPr="00160031" w:rsidRDefault="00B27E2F" w:rsidP="00B27E2F">
            <w:pPr>
              <w:numPr>
                <w:ilvl w:val="0"/>
                <w:numId w:val="15"/>
              </w:numPr>
              <w:spacing w:after="0" w:line="276" w:lineRule="auto"/>
              <w:contextualSpacing/>
              <w:rPr>
                <w:rFonts w:ascii="Arial" w:hAnsi="Arial" w:cs="Arial"/>
                <w:color w:val="000000"/>
                <w:sz w:val="17"/>
                <w:szCs w:val="17"/>
                <w:lang w:eastAsia="en-US"/>
              </w:rPr>
            </w:pPr>
            <w:r w:rsidRPr="00160031">
              <w:rPr>
                <w:rFonts w:ascii="Arial" w:hAnsi="Arial" w:cs="Arial"/>
                <w:bCs/>
                <w:sz w:val="17"/>
                <w:szCs w:val="17"/>
              </w:rPr>
              <w:t>Możliwość telefonicznego sprawdzenia konfiguracji sprzętowej serwera oraz warunków gwarancji po podaniu numeru seryjnego bezpośrednio u producenta lub jego przedstawiciela.</w:t>
            </w:r>
          </w:p>
        </w:tc>
        <w:tc>
          <w:tcPr>
            <w:tcW w:w="1456" w:type="pct"/>
          </w:tcPr>
          <w:p w14:paraId="05F5AAC6" w14:textId="5E8557C5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  <w:tr w:rsidR="00B27E2F" w:rsidRPr="00511C2F" w14:paraId="330D339C" w14:textId="77777777" w:rsidTr="00B27E2F">
        <w:trPr>
          <w:trHeight w:val="230"/>
        </w:trPr>
        <w:tc>
          <w:tcPr>
            <w:tcW w:w="936" w:type="pct"/>
          </w:tcPr>
          <w:p w14:paraId="64CF7AB0" w14:textId="1C81B021" w:rsidR="00B27E2F" w:rsidRPr="00160031" w:rsidRDefault="00B27E2F" w:rsidP="00B27E2F">
            <w:pPr>
              <w:spacing w:after="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60031">
              <w:rPr>
                <w:rFonts w:ascii="Arial" w:hAnsi="Arial" w:cs="Arial"/>
                <w:b/>
                <w:sz w:val="20"/>
                <w:szCs w:val="20"/>
              </w:rPr>
              <w:lastRenderedPageBreak/>
              <w:t>Warunki gwarancji</w:t>
            </w:r>
          </w:p>
        </w:tc>
        <w:tc>
          <w:tcPr>
            <w:tcW w:w="2608" w:type="pct"/>
          </w:tcPr>
          <w:p w14:paraId="364EAE44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  <w:lang w:eastAsia="zh-CN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Zamawiający wymaga zapewnienia gwarancji Producenta z zakresu wdrażanej technologii na okres 3 lat.</w:t>
            </w:r>
          </w:p>
          <w:p w14:paraId="03803D19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Zamawiający oczekuje możliwości zgłaszania zdarzeń serwisowych w trybie 24/7/365 następującymi kanałami: telefonicznie i przez Internet. </w:t>
            </w:r>
          </w:p>
          <w:p w14:paraId="69B4AC1D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Zamawiający wymaga pojedynczego punktu kontaktu dla całego rozwiązania Producenta, w tym także sprzedanego oprogramowania. </w:t>
            </w:r>
          </w:p>
          <w:p w14:paraId="533BD20A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Zamawiający oczekuje możliwości samodzielnego kwalifikowania poziomu ważności naprawy.</w:t>
            </w:r>
          </w:p>
          <w:p w14:paraId="38F5ACFD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Certyfikowany Technik Producenta z właściwym zestawem części do naprawy (potwierdzonym na etapie diagnostyki) powinien rozpocząć naprawę w siedzibie zamawiającego najpóźniej w następnym dniu roboczym (NBD) od zakończenia diagnostyki. </w:t>
            </w:r>
          </w:p>
          <w:p w14:paraId="43FA3A34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Naprawa ma się odbyć w siedzibie zamawiającego, chyba, że zamawiający dla danej naprawy zgodzi się na inną formę.  </w:t>
            </w:r>
          </w:p>
          <w:p w14:paraId="7197C3FD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Zamawiający oczekuje nieodpłatnego udostępnienia narzędzi serwisowych i procesów wsparcia umożliwiających: Wykrywanie usterek sprzętowych z predykcją awarii, automatyczną diagnostykę i zdalne otwieranie zgłoszeń serwisowych, wskazówki dotyczące bezpieczeństwa produktów, samodzielne wysyłanie części, a także ocena bezpieczeństwa cybernetycznego.</w:t>
            </w:r>
          </w:p>
          <w:p w14:paraId="6646BEB6" w14:textId="23A3A60B" w:rsidR="00B27E2F" w:rsidRPr="00160031" w:rsidRDefault="006149B6" w:rsidP="00B27E2F">
            <w:pPr>
              <w:pStyle w:val="Akapitzlist"/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Zamawiający wymaga, aby w przypadku wystąpienia awarii dysku twardego w urządzeniu objętym aktywnym wsparciem technicznym, realizowanym przez producenta sprzętu lub autoryzowany podmiot serwisowy, uszkodzony dysk twardy pozostawał u Zamawiającego.</w:t>
            </w:r>
            <w:r w:rsidRPr="00160031">
              <w:t xml:space="preserve"> </w:t>
            </w:r>
            <w:r w:rsidRPr="00160031">
              <w:rPr>
                <w:rFonts w:ascii="Arial" w:hAnsi="Arial" w:cs="Arial"/>
                <w:sz w:val="17"/>
                <w:szCs w:val="17"/>
              </w:rPr>
              <w:t>Powyższy wymóg obowiązuje niezależnie od rodzaju awarii oraz warunków gwarancji lub umowy serwisowej.</w:t>
            </w:r>
          </w:p>
          <w:p w14:paraId="430F4B6C" w14:textId="77777777" w:rsidR="00B27E2F" w:rsidRPr="00160031" w:rsidRDefault="00B27E2F" w:rsidP="00B27E2F">
            <w:pPr>
              <w:pStyle w:val="Akapitzlist"/>
              <w:numPr>
                <w:ilvl w:val="0"/>
                <w:numId w:val="15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Możliwość rozszerzenia gwarancji producenta o usługę diagnostyki sprzętu na miejscu w przypadku awarii. Charakterystyka usługi diagnostyki: </w:t>
            </w:r>
          </w:p>
          <w:p w14:paraId="3CCD3903" w14:textId="77777777" w:rsidR="00B27E2F" w:rsidRPr="00160031" w:rsidRDefault="00B27E2F" w:rsidP="00B27E2F">
            <w:pPr>
              <w:pStyle w:val="Akapitzlist"/>
              <w:numPr>
                <w:ilvl w:val="1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Możliwości utworzenia zgłaszania serwisowego w wyniku, którego proces diagnostyki odbędzie się na miejscu w siedzibie zamawiającego.</w:t>
            </w:r>
          </w:p>
          <w:p w14:paraId="28110C92" w14:textId="77777777" w:rsidR="00B27E2F" w:rsidRPr="00160031" w:rsidRDefault="00B27E2F" w:rsidP="00B27E2F">
            <w:pPr>
              <w:pStyle w:val="Akapitzlist"/>
              <w:numPr>
                <w:ilvl w:val="1"/>
                <w:numId w:val="15"/>
              </w:num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Po przyjeździe do siedziby Zamawiającego, pracownik serwisu przystąpi do rozwiązywania problemu. Jeśli do rozwiązania problemu będzie konieczna dodatkowa pomoc diagnostyczna lub części, pracownik serwisu może w </w:t>
            </w:r>
            <w:r w:rsidRPr="00160031">
              <w:rPr>
                <w:rFonts w:ascii="Arial" w:hAnsi="Arial" w:cs="Arial"/>
                <w:sz w:val="17"/>
                <w:szCs w:val="17"/>
              </w:rPr>
              <w:lastRenderedPageBreak/>
              <w:t>imieniu Zamawiającego skontaktować się z producentem w celu uzyskania pomocy.</w:t>
            </w:r>
          </w:p>
          <w:p w14:paraId="311C06C5" w14:textId="77777777" w:rsidR="00B27E2F" w:rsidRPr="00160031" w:rsidRDefault="00B27E2F" w:rsidP="00B27E2F">
            <w:pPr>
              <w:pStyle w:val="Akapitzlist"/>
              <w:numPr>
                <w:ilvl w:val="1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 xml:space="preserve">Reakcja na miejscu u Zamawiającego powinna nastąpić w okresie zgodnym z czasem reakcji przypisanym do urządzenia, które posiada wykupioną usługę serwisową. </w:t>
            </w:r>
          </w:p>
          <w:p w14:paraId="1B3C8338" w14:textId="77777777" w:rsidR="00B27E2F" w:rsidRPr="00160031" w:rsidRDefault="00B27E2F" w:rsidP="00B27E2F">
            <w:pPr>
              <w:pStyle w:val="Akapitzlist"/>
              <w:numPr>
                <w:ilvl w:val="1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Pracownik serwisu powinien skontaktować się z Zamawiającym przed przyjazdem na miejsce w celu sprawdzenia zgłoszenia, ustalenia harmonogramu i potwierdzenia wszelkich informacji niezbędnych do realizacji wizyty technika na miejscu.</w:t>
            </w:r>
          </w:p>
          <w:p w14:paraId="7B82B20A" w14:textId="77777777" w:rsidR="00B27E2F" w:rsidRPr="00160031" w:rsidRDefault="00B27E2F" w:rsidP="00B27E2F">
            <w:pPr>
              <w:pStyle w:val="Akapitzlist"/>
              <w:numPr>
                <w:ilvl w:val="1"/>
                <w:numId w:val="15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Jeśli w trakcie wstępnego procesu rozwiązywania problemu na miejscu awarii zostanie ustalone, że do realizacji usługi jest niezbędna jakaś część, znajdujący się na miejscu pracownik serwisu zamówi nową część i przekaże dodatkowe zgłoszenie do działu obsługi technicznej. Technik pracujący na miejscu powróci do siedziby Klienta w celu wymiany wysłanej części w ciągu czasu reakcji ustalonego zgodnie z umową serwisową zakupionego produktu.</w:t>
            </w:r>
          </w:p>
          <w:p w14:paraId="06A2924D" w14:textId="5E3DCC67" w:rsidR="00B27E2F" w:rsidRPr="00160031" w:rsidRDefault="00B27E2F" w:rsidP="006149B6">
            <w:pPr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Firma serwisująca musi posiadać ISO 9001:2015 oraz ISO-27001 na świadczenie usług serwisowych oraz posiadać autoryzacje producenta urządzeń</w:t>
            </w:r>
          </w:p>
        </w:tc>
        <w:tc>
          <w:tcPr>
            <w:tcW w:w="1456" w:type="pct"/>
          </w:tcPr>
          <w:p w14:paraId="25D337B7" w14:textId="56C61F96" w:rsidR="00B27E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lastRenderedPageBreak/>
              <w:t>Spełnia / nie spełnia</w:t>
            </w:r>
          </w:p>
        </w:tc>
      </w:tr>
      <w:tr w:rsidR="00511C2F" w:rsidRPr="00511C2F" w14:paraId="3C3C5B2E" w14:textId="77777777" w:rsidTr="00B27E2F">
        <w:trPr>
          <w:trHeight w:val="230"/>
        </w:trPr>
        <w:tc>
          <w:tcPr>
            <w:tcW w:w="936" w:type="pct"/>
          </w:tcPr>
          <w:p w14:paraId="36F06C93" w14:textId="498A174E" w:rsidR="00511C2F" w:rsidRPr="00160031" w:rsidRDefault="00511C2F" w:rsidP="00B27E2F">
            <w:pPr>
              <w:spacing w:after="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60031">
              <w:rPr>
                <w:rFonts w:ascii="Arial" w:hAnsi="Arial" w:cs="Arial"/>
                <w:sz w:val="20"/>
                <w:szCs w:val="20"/>
              </w:rPr>
              <w:t>Karty sieciowe</w:t>
            </w:r>
            <w:r w:rsidRPr="0016003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160031">
              <w:rPr>
                <w:rFonts w:ascii="Arial" w:hAnsi="Arial" w:cs="Arial"/>
                <w:sz w:val="20"/>
                <w:szCs w:val="20"/>
              </w:rPr>
              <w:t>do serwerów</w:t>
            </w:r>
          </w:p>
        </w:tc>
        <w:tc>
          <w:tcPr>
            <w:tcW w:w="2608" w:type="pct"/>
          </w:tcPr>
          <w:p w14:paraId="411B2688" w14:textId="77777777" w:rsidR="00511C2F" w:rsidRPr="00160031" w:rsidRDefault="00511C2F" w:rsidP="00511C2F">
            <w:pPr>
              <w:rPr>
                <w:rFonts w:ascii="Arial" w:hAnsi="Arial" w:cs="Arial"/>
                <w:color w:val="000000" w:themeColor="text1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Karty sieciowe</w:t>
            </w:r>
            <w:r w:rsidRPr="00160031">
              <w:rPr>
                <w:rFonts w:ascii="Arial" w:hAnsi="Arial" w:cs="Arial"/>
                <w:b/>
                <w:bCs/>
                <w:sz w:val="17"/>
                <w:szCs w:val="17"/>
              </w:rPr>
              <w:t xml:space="preserve"> </w:t>
            </w:r>
            <w:r w:rsidRPr="00160031">
              <w:rPr>
                <w:rFonts w:ascii="Arial" w:hAnsi="Arial" w:cs="Arial"/>
                <w:sz w:val="17"/>
                <w:szCs w:val="17"/>
              </w:rPr>
              <w:t xml:space="preserve">do serwerów Dell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PowerEdge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 </w:t>
            </w:r>
            <w:proofErr w:type="spellStart"/>
            <w:r w:rsidRPr="00160031">
              <w:rPr>
                <w:rFonts w:ascii="Arial" w:hAnsi="Arial" w:cs="Arial"/>
                <w:sz w:val="17"/>
                <w:szCs w:val="17"/>
              </w:rPr>
              <w:t>R760xs</w:t>
            </w:r>
            <w:proofErr w:type="spellEnd"/>
            <w:r w:rsidRPr="00160031">
              <w:rPr>
                <w:rFonts w:ascii="Arial" w:hAnsi="Arial" w:cs="Arial"/>
                <w:sz w:val="17"/>
                <w:szCs w:val="17"/>
              </w:rPr>
              <w:t xml:space="preserve">, Service Tag </w:t>
            </w:r>
            <w:r w:rsidRPr="00160031">
              <w:rPr>
                <w:rFonts w:ascii="Arial" w:hAnsi="Arial" w:cs="Arial"/>
                <w:color w:val="000000" w:themeColor="text1"/>
                <w:sz w:val="17"/>
                <w:szCs w:val="17"/>
              </w:rPr>
              <w:t>6VKNKC4 I DTKNKC4</w:t>
            </w:r>
            <w:r w:rsidRPr="00160031">
              <w:rPr>
                <w:rFonts w:ascii="Arial" w:hAnsi="Arial" w:cs="Arial"/>
                <w:b/>
                <w:bCs/>
                <w:color w:val="000000" w:themeColor="text1"/>
                <w:sz w:val="17"/>
                <w:szCs w:val="17"/>
              </w:rPr>
              <w:t xml:space="preserve"> </w:t>
            </w:r>
            <w:r w:rsidRPr="00160031">
              <w:rPr>
                <w:rFonts w:ascii="Arial" w:hAnsi="Arial" w:cs="Arial"/>
                <w:color w:val="000000" w:themeColor="text1"/>
                <w:sz w:val="17"/>
                <w:szCs w:val="17"/>
              </w:rPr>
              <w:t>(komplet dla każdego serwera):</w:t>
            </w:r>
          </w:p>
          <w:p w14:paraId="49A20B45" w14:textId="77777777" w:rsidR="00511C2F" w:rsidRPr="00160031" w:rsidRDefault="00511C2F" w:rsidP="00511C2F">
            <w:pPr>
              <w:pStyle w:val="Akapitzlist"/>
              <w:numPr>
                <w:ilvl w:val="0"/>
                <w:numId w:val="23"/>
              </w:num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czteroportowa karta Base-T 1Gb, OCP3.0</w:t>
            </w:r>
          </w:p>
          <w:p w14:paraId="68972411" w14:textId="77777777" w:rsidR="00511C2F" w:rsidRPr="00160031" w:rsidRDefault="00511C2F" w:rsidP="00511C2F">
            <w:pPr>
              <w:rPr>
                <w:rFonts w:ascii="Arial" w:hAnsi="Arial" w:cs="Arial"/>
                <w:color w:val="000000" w:themeColor="text1"/>
                <w:sz w:val="17"/>
                <w:szCs w:val="17"/>
              </w:rPr>
            </w:pPr>
            <w:r w:rsidRPr="00160031">
              <w:rPr>
                <w:rFonts w:ascii="Arial" w:hAnsi="Arial" w:cs="Arial"/>
                <w:sz w:val="17"/>
                <w:szCs w:val="17"/>
              </w:rPr>
              <w:t>Oferowane karty</w:t>
            </w:r>
            <w:r w:rsidRPr="00160031">
              <w:rPr>
                <w:rFonts w:ascii="Arial" w:hAnsi="Arial" w:cs="Arial"/>
                <w:color w:val="000000" w:themeColor="text1"/>
                <w:sz w:val="17"/>
                <w:szCs w:val="17"/>
              </w:rPr>
              <w:t xml:space="preserve"> muszą znajdować się na liście kompatybilności producenta serwera i być oznaczone jego logiem. Zamawiający oświadcza, że w/w serwery objęte są gwarancją producenta ważną do 20.08.2028 i wymaga, aby ta sama gwarancja objęła również zaoferowane karty sieciowe. </w:t>
            </w:r>
          </w:p>
          <w:p w14:paraId="40821B72" w14:textId="77777777" w:rsidR="00511C2F" w:rsidRPr="00160031" w:rsidRDefault="00511C2F" w:rsidP="00511C2F">
            <w:pPr>
              <w:spacing w:line="252" w:lineRule="auto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456" w:type="pct"/>
          </w:tcPr>
          <w:p w14:paraId="5A63A84C" w14:textId="7282B8F1" w:rsidR="00511C2F" w:rsidRPr="00511C2F" w:rsidRDefault="00511C2F" w:rsidP="00B27E2F">
            <w:pPr>
              <w:spacing w:after="0" w:line="276" w:lineRule="auto"/>
              <w:contextualSpacing/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</w:pPr>
            <w:r w:rsidRPr="00511C2F">
              <w:rPr>
                <w:rFonts w:ascii="Arial" w:eastAsia="Calibri" w:hAnsi="Arial" w:cs="Arial"/>
                <w:color w:val="FF0000"/>
                <w:sz w:val="23"/>
                <w:szCs w:val="23"/>
                <w:highlight w:val="cyan"/>
                <w:lang w:eastAsia="en-US"/>
              </w:rPr>
              <w:t>Spełnia / nie spełnia</w:t>
            </w:r>
          </w:p>
        </w:tc>
      </w:tr>
    </w:tbl>
    <w:p w14:paraId="2E9E84DD" w14:textId="71C3D6CD" w:rsidR="00B27E2F" w:rsidRPr="00511C2F" w:rsidRDefault="00B27E2F" w:rsidP="00511C2F">
      <w:pPr>
        <w:rPr>
          <w:rFonts w:ascii="Arial" w:hAnsi="Arial" w:cs="Arial"/>
          <w:color w:val="000000" w:themeColor="text1"/>
          <w:sz w:val="20"/>
          <w:szCs w:val="20"/>
        </w:rPr>
      </w:pPr>
    </w:p>
    <w:sectPr w:rsidR="00B27E2F" w:rsidRPr="00511C2F" w:rsidSect="00DE42B3">
      <w:head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8D8D9" w14:textId="77777777" w:rsidR="00BB0085" w:rsidRDefault="00BB0085" w:rsidP="002E5C07">
      <w:pPr>
        <w:spacing w:after="0" w:line="240" w:lineRule="auto"/>
      </w:pPr>
      <w:r>
        <w:separator/>
      </w:r>
    </w:p>
  </w:endnote>
  <w:endnote w:type="continuationSeparator" w:id="0">
    <w:p w14:paraId="0674AE54" w14:textId="77777777" w:rsidR="00BB0085" w:rsidRDefault="00BB0085" w:rsidP="002E5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CEDBF" w14:textId="77777777" w:rsidR="00BB0085" w:rsidRDefault="00BB0085" w:rsidP="002E5C07">
      <w:pPr>
        <w:spacing w:after="0" w:line="240" w:lineRule="auto"/>
      </w:pPr>
      <w:r>
        <w:separator/>
      </w:r>
    </w:p>
  </w:footnote>
  <w:footnote w:type="continuationSeparator" w:id="0">
    <w:p w14:paraId="01B5A8BF" w14:textId="77777777" w:rsidR="00BB0085" w:rsidRDefault="00BB0085" w:rsidP="002E5C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1E5D2" w14:textId="219A1995" w:rsidR="00F524AC" w:rsidRDefault="00511C2F" w:rsidP="00F524AC">
    <w:pPr>
      <w:spacing w:before="240" w:after="480" w:line="276" w:lineRule="auto"/>
      <w:jc w:val="center"/>
      <w:rPr>
        <w:rFonts w:ascii="Arial" w:hAnsi="Arial" w:cs="Arial"/>
        <w:i/>
        <w:iCs/>
        <w:sz w:val="23"/>
        <w:szCs w:val="23"/>
      </w:rPr>
    </w:pPr>
    <w:bookmarkStart w:id="0" w:name="_Hlk203247515"/>
    <w:bookmarkStart w:id="1" w:name="_Hlk203247516"/>
    <w:r>
      <w:rPr>
        <w:noProof/>
      </w:rPr>
      <w:drawing>
        <wp:inline distT="0" distB="0" distL="0" distR="0" wp14:anchorId="2FD42380" wp14:editId="7862AC14">
          <wp:extent cx="5972810" cy="736600"/>
          <wp:effectExtent l="0" t="0" r="8890" b="6350"/>
          <wp:docPr id="16338488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848828" name="Obraz 16338488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653CB59" w14:textId="6B315586" w:rsidR="006B0E82" w:rsidRPr="006B0E82" w:rsidRDefault="006B0E82" w:rsidP="006B0E82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 w:rsidRPr="009E18DF">
      <w:rPr>
        <w:rFonts w:ascii="Arial" w:hAnsi="Arial" w:cs="Arial"/>
        <w:i/>
        <w:iCs/>
        <w:sz w:val="23"/>
        <w:szCs w:val="23"/>
      </w:rPr>
      <w:t>Znak sprawy:</w:t>
    </w:r>
    <w:r w:rsidRPr="009E18DF">
      <w:rPr>
        <w:rFonts w:ascii="Arial" w:hAnsi="Arial" w:cs="Arial"/>
        <w:b/>
        <w:bCs/>
        <w:i/>
        <w:iCs/>
        <w:sz w:val="23"/>
        <w:szCs w:val="23"/>
      </w:rPr>
      <w:t xml:space="preserve"> </w:t>
    </w:r>
    <w:proofErr w:type="spellStart"/>
    <w:r w:rsidR="00511C2F" w:rsidRPr="00511C2F">
      <w:rPr>
        <w:rFonts w:ascii="Arial" w:hAnsi="Arial" w:cs="Arial"/>
        <w:b/>
        <w:bCs/>
        <w:i/>
        <w:iCs/>
        <w:sz w:val="23"/>
        <w:szCs w:val="23"/>
      </w:rPr>
      <w:t>GKM.271.1.4.2026</w:t>
    </w:r>
    <w:proofErr w:type="spellEnd"/>
    <w:r w:rsidR="00511C2F"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9E18DF">
      <w:rPr>
        <w:rFonts w:ascii="Arial" w:hAnsi="Arial" w:cs="Arial"/>
        <w:i/>
        <w:iCs/>
        <w:sz w:val="23"/>
        <w:szCs w:val="23"/>
      </w:rPr>
      <w:t>Nazwa postępowania:</w:t>
    </w:r>
    <w:r w:rsidRPr="00536A96">
      <w:t xml:space="preserve"> </w:t>
    </w:r>
    <w:bookmarkEnd w:id="0"/>
    <w:bookmarkEnd w:id="1"/>
    <w:r w:rsidR="00511C2F" w:rsidRPr="00511C2F">
      <w:rPr>
        <w:rFonts w:ascii="Arial" w:hAnsi="Arial" w:cs="Arial"/>
        <w:b/>
        <w:bCs/>
        <w:i/>
        <w:iCs/>
        <w:sz w:val="23"/>
        <w:szCs w:val="23"/>
      </w:rPr>
      <w:t>Zakup i dostawa sprzętu IT wraz z oprogramowaniem w ramach realizacji programu grantowego „</w:t>
    </w:r>
    <w:proofErr w:type="spellStart"/>
    <w:r w:rsidR="00511C2F" w:rsidRPr="00511C2F">
      <w:rPr>
        <w:rFonts w:ascii="Arial" w:hAnsi="Arial" w:cs="Arial"/>
        <w:b/>
        <w:bCs/>
        <w:i/>
        <w:iCs/>
        <w:sz w:val="23"/>
        <w:szCs w:val="23"/>
      </w:rPr>
      <w:t>Cyberbezpieczny</w:t>
    </w:r>
    <w:proofErr w:type="spellEnd"/>
    <w:r w:rsidR="00511C2F" w:rsidRPr="00511C2F">
      <w:rPr>
        <w:rFonts w:ascii="Arial" w:hAnsi="Arial" w:cs="Arial"/>
        <w:b/>
        <w:bCs/>
        <w:i/>
        <w:iCs/>
        <w:sz w:val="23"/>
        <w:szCs w:val="23"/>
      </w:rPr>
      <w:t xml:space="preserve"> Samorząd”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66324"/>
    <w:multiLevelType w:val="hybridMultilevel"/>
    <w:tmpl w:val="49A6B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54373"/>
    <w:multiLevelType w:val="hybridMultilevel"/>
    <w:tmpl w:val="8938AE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8D356A"/>
    <w:multiLevelType w:val="hybridMultilevel"/>
    <w:tmpl w:val="E59E7A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22988"/>
    <w:multiLevelType w:val="hybridMultilevel"/>
    <w:tmpl w:val="267E1E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C63E5"/>
    <w:multiLevelType w:val="multilevel"/>
    <w:tmpl w:val="14BE38CA"/>
    <w:lvl w:ilvl="0">
      <w:start w:val="1"/>
      <w:numFmt w:val="decimal"/>
      <w:lvlText w:val="%1"/>
      <w:lvlJc w:val="left"/>
      <w:pPr>
        <w:ind w:left="502" w:hanging="360"/>
      </w:pPr>
      <w:rPr>
        <w:b/>
        <w:i w:val="0"/>
        <w:caps w:val="0"/>
        <w:strike w:val="0"/>
        <w:dstrike w:val="0"/>
        <w:vanish w:val="0"/>
        <w:webHidden w:val="0"/>
        <w:sz w:val="22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AC5DF5"/>
    <w:multiLevelType w:val="hybridMultilevel"/>
    <w:tmpl w:val="981AB7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5B7BD6"/>
    <w:multiLevelType w:val="hybridMultilevel"/>
    <w:tmpl w:val="5FD26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4C49E5"/>
    <w:multiLevelType w:val="hybridMultilevel"/>
    <w:tmpl w:val="A2703780"/>
    <w:lvl w:ilvl="0" w:tplc="FFFFFFFF">
      <w:start w:val="1"/>
      <w:numFmt w:val="decimal"/>
      <w:lvlText w:val="%1)"/>
      <w:lvlJc w:val="left"/>
      <w:pPr>
        <w:ind w:left="644" w:hanging="360"/>
      </w:p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>
      <w:start w:val="1"/>
      <w:numFmt w:val="decimal"/>
      <w:lvlText w:val="%4."/>
      <w:lvlJc w:val="left"/>
      <w:pPr>
        <w:ind w:left="2804" w:hanging="360"/>
      </w:pPr>
    </w:lvl>
    <w:lvl w:ilvl="4" w:tplc="FFFFFFFF">
      <w:start w:val="1"/>
      <w:numFmt w:val="lowerLetter"/>
      <w:lvlText w:val="%5."/>
      <w:lvlJc w:val="left"/>
      <w:pPr>
        <w:ind w:left="3524" w:hanging="360"/>
      </w:pPr>
    </w:lvl>
    <w:lvl w:ilvl="5" w:tplc="FFFFFFFF">
      <w:start w:val="1"/>
      <w:numFmt w:val="lowerRoman"/>
      <w:lvlText w:val="%6."/>
      <w:lvlJc w:val="right"/>
      <w:pPr>
        <w:ind w:left="4244" w:hanging="180"/>
      </w:pPr>
    </w:lvl>
    <w:lvl w:ilvl="6" w:tplc="FFFFFFFF">
      <w:start w:val="1"/>
      <w:numFmt w:val="decimal"/>
      <w:lvlText w:val="%7."/>
      <w:lvlJc w:val="left"/>
      <w:pPr>
        <w:ind w:left="4964" w:hanging="360"/>
      </w:pPr>
    </w:lvl>
    <w:lvl w:ilvl="7" w:tplc="FFFFFFFF">
      <w:start w:val="1"/>
      <w:numFmt w:val="lowerLetter"/>
      <w:lvlText w:val="%8."/>
      <w:lvlJc w:val="left"/>
      <w:pPr>
        <w:ind w:left="5684" w:hanging="360"/>
      </w:pPr>
    </w:lvl>
    <w:lvl w:ilvl="8" w:tplc="FFFFFFFF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4B5310C"/>
    <w:multiLevelType w:val="multilevel"/>
    <w:tmpl w:val="14BE38CA"/>
    <w:lvl w:ilvl="0">
      <w:start w:val="1"/>
      <w:numFmt w:val="decimal"/>
      <w:lvlText w:val="%1"/>
      <w:lvlJc w:val="left"/>
      <w:pPr>
        <w:ind w:left="502" w:hanging="360"/>
      </w:pPr>
      <w:rPr>
        <w:b/>
        <w:i w:val="0"/>
        <w:caps w:val="0"/>
        <w:strike w:val="0"/>
        <w:dstrike w:val="0"/>
        <w:vanish w:val="0"/>
        <w:webHidden w:val="0"/>
        <w:sz w:val="22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2F0E86"/>
    <w:multiLevelType w:val="hybridMultilevel"/>
    <w:tmpl w:val="DF928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608BC"/>
    <w:multiLevelType w:val="multilevel"/>
    <w:tmpl w:val="0E74DFEE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1" w15:restartNumberingAfterBreak="0">
    <w:nsid w:val="473914F4"/>
    <w:multiLevelType w:val="hybridMultilevel"/>
    <w:tmpl w:val="63EE1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5A1AB2"/>
    <w:multiLevelType w:val="hybridMultilevel"/>
    <w:tmpl w:val="D07833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B64F6"/>
    <w:multiLevelType w:val="hybridMultilevel"/>
    <w:tmpl w:val="D94E25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F01EB7"/>
    <w:multiLevelType w:val="hybridMultilevel"/>
    <w:tmpl w:val="A2703780"/>
    <w:lvl w:ilvl="0" w:tplc="FFFFFFFF">
      <w:start w:val="1"/>
      <w:numFmt w:val="decimal"/>
      <w:lvlText w:val="%1)"/>
      <w:lvlJc w:val="left"/>
      <w:pPr>
        <w:ind w:left="644" w:hanging="360"/>
      </w:p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>
      <w:start w:val="1"/>
      <w:numFmt w:val="decimal"/>
      <w:lvlText w:val="%4."/>
      <w:lvlJc w:val="left"/>
      <w:pPr>
        <w:ind w:left="2804" w:hanging="360"/>
      </w:pPr>
    </w:lvl>
    <w:lvl w:ilvl="4" w:tplc="FFFFFFFF">
      <w:start w:val="1"/>
      <w:numFmt w:val="lowerLetter"/>
      <w:lvlText w:val="%5."/>
      <w:lvlJc w:val="left"/>
      <w:pPr>
        <w:ind w:left="3524" w:hanging="360"/>
      </w:pPr>
    </w:lvl>
    <w:lvl w:ilvl="5" w:tplc="FFFFFFFF">
      <w:start w:val="1"/>
      <w:numFmt w:val="lowerRoman"/>
      <w:lvlText w:val="%6."/>
      <w:lvlJc w:val="right"/>
      <w:pPr>
        <w:ind w:left="4244" w:hanging="180"/>
      </w:pPr>
    </w:lvl>
    <w:lvl w:ilvl="6" w:tplc="FFFFFFFF">
      <w:start w:val="1"/>
      <w:numFmt w:val="decimal"/>
      <w:lvlText w:val="%7."/>
      <w:lvlJc w:val="left"/>
      <w:pPr>
        <w:ind w:left="4964" w:hanging="360"/>
      </w:pPr>
    </w:lvl>
    <w:lvl w:ilvl="7" w:tplc="FFFFFFFF">
      <w:start w:val="1"/>
      <w:numFmt w:val="lowerLetter"/>
      <w:lvlText w:val="%8."/>
      <w:lvlJc w:val="left"/>
      <w:pPr>
        <w:ind w:left="5684" w:hanging="360"/>
      </w:pPr>
    </w:lvl>
    <w:lvl w:ilvl="8" w:tplc="FFFFFFFF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AF54F5E"/>
    <w:multiLevelType w:val="hybridMultilevel"/>
    <w:tmpl w:val="1F5422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403A94"/>
    <w:multiLevelType w:val="hybridMultilevel"/>
    <w:tmpl w:val="A270378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2C74EA"/>
    <w:multiLevelType w:val="hybridMultilevel"/>
    <w:tmpl w:val="ABB4A9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424328"/>
    <w:multiLevelType w:val="hybridMultilevel"/>
    <w:tmpl w:val="A270378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D537DC"/>
    <w:multiLevelType w:val="hybridMultilevel"/>
    <w:tmpl w:val="5D0AC9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1857F8"/>
    <w:multiLevelType w:val="hybridMultilevel"/>
    <w:tmpl w:val="A8AEC43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1162034"/>
    <w:multiLevelType w:val="hybridMultilevel"/>
    <w:tmpl w:val="35C673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22331F"/>
    <w:multiLevelType w:val="hybridMultilevel"/>
    <w:tmpl w:val="55A4EA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8915705">
    <w:abstractNumId w:val="4"/>
  </w:num>
  <w:num w:numId="2" w16cid:durableId="1505627117">
    <w:abstractNumId w:val="7"/>
  </w:num>
  <w:num w:numId="3" w16cid:durableId="747312917">
    <w:abstractNumId w:val="18"/>
  </w:num>
  <w:num w:numId="4" w16cid:durableId="777409330">
    <w:abstractNumId w:val="10"/>
  </w:num>
  <w:num w:numId="5" w16cid:durableId="1556040713">
    <w:abstractNumId w:val="8"/>
  </w:num>
  <w:num w:numId="6" w16cid:durableId="837815085">
    <w:abstractNumId w:val="14"/>
  </w:num>
  <w:num w:numId="7" w16cid:durableId="1544438961">
    <w:abstractNumId w:val="16"/>
  </w:num>
  <w:num w:numId="8" w16cid:durableId="624233003">
    <w:abstractNumId w:val="20"/>
  </w:num>
  <w:num w:numId="9" w16cid:durableId="2086763077">
    <w:abstractNumId w:val="13"/>
  </w:num>
  <w:num w:numId="10" w16cid:durableId="1874538112">
    <w:abstractNumId w:val="21"/>
  </w:num>
  <w:num w:numId="11" w16cid:durableId="792209363">
    <w:abstractNumId w:val="19"/>
  </w:num>
  <w:num w:numId="12" w16cid:durableId="1900440806">
    <w:abstractNumId w:val="11"/>
  </w:num>
  <w:num w:numId="13" w16cid:durableId="1895846148">
    <w:abstractNumId w:val="9"/>
  </w:num>
  <w:num w:numId="14" w16cid:durableId="1129275128">
    <w:abstractNumId w:val="12"/>
  </w:num>
  <w:num w:numId="15" w16cid:durableId="518665829">
    <w:abstractNumId w:val="1"/>
  </w:num>
  <w:num w:numId="16" w16cid:durableId="1933079887">
    <w:abstractNumId w:val="5"/>
  </w:num>
  <w:num w:numId="17" w16cid:durableId="595137620">
    <w:abstractNumId w:val="3"/>
  </w:num>
  <w:num w:numId="18" w16cid:durableId="30570265">
    <w:abstractNumId w:val="6"/>
  </w:num>
  <w:num w:numId="19" w16cid:durableId="1311130247">
    <w:abstractNumId w:val="22"/>
  </w:num>
  <w:num w:numId="20" w16cid:durableId="4867967">
    <w:abstractNumId w:val="2"/>
  </w:num>
  <w:num w:numId="21" w16cid:durableId="1506827143">
    <w:abstractNumId w:val="0"/>
  </w:num>
  <w:num w:numId="22" w16cid:durableId="538592730">
    <w:abstractNumId w:val="17"/>
  </w:num>
  <w:num w:numId="23" w16cid:durableId="16478585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C07"/>
    <w:rsid w:val="000B031F"/>
    <w:rsid w:val="000B1554"/>
    <w:rsid w:val="000B6D96"/>
    <w:rsid w:val="000E5499"/>
    <w:rsid w:val="001075EE"/>
    <w:rsid w:val="00135B0A"/>
    <w:rsid w:val="00135CC1"/>
    <w:rsid w:val="00160031"/>
    <w:rsid w:val="001E3AB9"/>
    <w:rsid w:val="001F0753"/>
    <w:rsid w:val="0020702E"/>
    <w:rsid w:val="00217B0F"/>
    <w:rsid w:val="002765E5"/>
    <w:rsid w:val="002770F0"/>
    <w:rsid w:val="00281871"/>
    <w:rsid w:val="002912CE"/>
    <w:rsid w:val="002B534F"/>
    <w:rsid w:val="002B6418"/>
    <w:rsid w:val="002E5C07"/>
    <w:rsid w:val="00435516"/>
    <w:rsid w:val="004B4268"/>
    <w:rsid w:val="004E4129"/>
    <w:rsid w:val="00511631"/>
    <w:rsid w:val="00511C2F"/>
    <w:rsid w:val="005314E0"/>
    <w:rsid w:val="00551D6D"/>
    <w:rsid w:val="005C1629"/>
    <w:rsid w:val="006149B6"/>
    <w:rsid w:val="006155C9"/>
    <w:rsid w:val="006B0E82"/>
    <w:rsid w:val="006C2159"/>
    <w:rsid w:val="006C600D"/>
    <w:rsid w:val="0073777D"/>
    <w:rsid w:val="007D1A72"/>
    <w:rsid w:val="008147CB"/>
    <w:rsid w:val="00817F00"/>
    <w:rsid w:val="00835B6C"/>
    <w:rsid w:val="008661AE"/>
    <w:rsid w:val="00873769"/>
    <w:rsid w:val="008B0661"/>
    <w:rsid w:val="008E6133"/>
    <w:rsid w:val="008F12FC"/>
    <w:rsid w:val="00923F7F"/>
    <w:rsid w:val="009F1B3A"/>
    <w:rsid w:val="00A153AD"/>
    <w:rsid w:val="00A34DAE"/>
    <w:rsid w:val="00A569DD"/>
    <w:rsid w:val="00AC12E1"/>
    <w:rsid w:val="00B27E2F"/>
    <w:rsid w:val="00BA5231"/>
    <w:rsid w:val="00BB0085"/>
    <w:rsid w:val="00BB61AE"/>
    <w:rsid w:val="00BD2E01"/>
    <w:rsid w:val="00C03109"/>
    <w:rsid w:val="00C1156B"/>
    <w:rsid w:val="00C25B74"/>
    <w:rsid w:val="00D46C2D"/>
    <w:rsid w:val="00D86325"/>
    <w:rsid w:val="00D95455"/>
    <w:rsid w:val="00DE42B3"/>
    <w:rsid w:val="00E011EF"/>
    <w:rsid w:val="00E54E6B"/>
    <w:rsid w:val="00E848EE"/>
    <w:rsid w:val="00F269AD"/>
    <w:rsid w:val="00F52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0303C"/>
  <w15:chartTrackingRefBased/>
  <w15:docId w15:val="{827F3E31-D9D6-4F9E-8710-D995409AD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AB9"/>
    <w:rPr>
      <w:rFonts w:ascii="Calibri Light" w:eastAsia="Times New Roman" w:hAnsi="Calibri Light" w:cs="Times New Roman"/>
      <w:sz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F12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E42B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F12FC"/>
    <w:rPr>
      <w:rFonts w:asciiTheme="majorHAnsi" w:eastAsiaTheme="majorEastAsia" w:hAnsiTheme="majorHAnsi" w:cstheme="majorBidi"/>
      <w:b/>
      <w:sz w:val="32"/>
      <w:szCs w:val="32"/>
    </w:rPr>
  </w:style>
  <w:style w:type="character" w:styleId="Hipercze">
    <w:name w:val="Hyperlink"/>
    <w:basedOn w:val="Domylnaczcionkaakapitu"/>
    <w:uiPriority w:val="99"/>
    <w:unhideWhenUsed/>
    <w:rsid w:val="002E5C07"/>
    <w:rPr>
      <w:rFonts w:cs="Times New Roman"/>
      <w:color w:val="0563C1"/>
      <w:u w:val="single"/>
    </w:rPr>
  </w:style>
  <w:style w:type="character" w:customStyle="1" w:styleId="gmail-msohyperlink">
    <w:name w:val="gmail-msohyperlink"/>
    <w:basedOn w:val="Domylnaczcionkaakapitu"/>
    <w:rsid w:val="002E5C07"/>
  </w:style>
  <w:style w:type="paragraph" w:styleId="Nagwek">
    <w:name w:val="header"/>
    <w:basedOn w:val="Normalny"/>
    <w:link w:val="NagwekZnak"/>
    <w:uiPriority w:val="99"/>
    <w:unhideWhenUsed/>
    <w:rsid w:val="002E5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5C07"/>
    <w:rPr>
      <w:rFonts w:ascii="Calibri Light" w:eastAsia="Times New Roman" w:hAnsi="Calibri Light" w:cs="Times New Roman"/>
      <w:sz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E5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5C07"/>
    <w:rPr>
      <w:rFonts w:ascii="Calibri Light" w:eastAsia="Times New Roman" w:hAnsi="Calibri Light" w:cs="Times New Roman"/>
      <w:sz w:val="24"/>
      <w:lang w:eastAsia="pl-PL"/>
    </w:rPr>
  </w:style>
  <w:style w:type="paragraph" w:customStyle="1" w:styleId="gmail-msonospacing">
    <w:name w:val="gmail-msonospacing"/>
    <w:basedOn w:val="Normalny"/>
    <w:rsid w:val="00817F00"/>
    <w:pPr>
      <w:spacing w:before="100" w:beforeAutospacing="1" w:after="100" w:afterAutospacing="1" w:line="240" w:lineRule="auto"/>
    </w:pPr>
    <w:rPr>
      <w:rFonts w:ascii="Times New Roman" w:hAnsi="Times New Roman"/>
      <w:szCs w:val="24"/>
    </w:rPr>
  </w:style>
  <w:style w:type="paragraph" w:customStyle="1" w:styleId="gmail-msolistparagraph">
    <w:name w:val="gmail-msolistparagraph"/>
    <w:basedOn w:val="Normalny"/>
    <w:rsid w:val="00817F00"/>
    <w:pPr>
      <w:spacing w:before="100" w:beforeAutospacing="1" w:after="100" w:afterAutospacing="1" w:line="240" w:lineRule="auto"/>
    </w:pPr>
    <w:rPr>
      <w:rFonts w:ascii="Times New Roman" w:hAnsi="Times New Roman"/>
      <w:szCs w:val="24"/>
    </w:rPr>
  </w:style>
  <w:style w:type="character" w:customStyle="1" w:styleId="gmail-normaltextrun">
    <w:name w:val="gmail-normaltextrun"/>
    <w:basedOn w:val="Domylnaczcionkaakapitu"/>
    <w:rsid w:val="00817F00"/>
  </w:style>
  <w:style w:type="paragraph" w:customStyle="1" w:styleId="gmail-paragraph">
    <w:name w:val="gmail-paragraph"/>
    <w:basedOn w:val="Normalny"/>
    <w:rsid w:val="00817F00"/>
    <w:pPr>
      <w:spacing w:before="100" w:beforeAutospacing="1" w:after="100" w:afterAutospacing="1" w:line="240" w:lineRule="auto"/>
    </w:pPr>
    <w:rPr>
      <w:rFonts w:ascii="Times New Roman" w:hAnsi="Times New Roman"/>
      <w:szCs w:val="24"/>
    </w:rPr>
  </w:style>
  <w:style w:type="paragraph" w:styleId="Poprawka">
    <w:name w:val="Revision"/>
    <w:hidden/>
    <w:uiPriority w:val="99"/>
    <w:semiHidden/>
    <w:rsid w:val="006155C9"/>
    <w:pPr>
      <w:spacing w:after="0" w:line="240" w:lineRule="auto"/>
    </w:pPr>
    <w:rPr>
      <w:rFonts w:ascii="Calibri Light" w:eastAsia="Times New Roman" w:hAnsi="Calibri Light" w:cs="Times New Roman"/>
      <w:sz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E42B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table" w:styleId="Tabela-Siatka">
    <w:name w:val="Table Grid"/>
    <w:basedOn w:val="Standardowy"/>
    <w:uiPriority w:val="39"/>
    <w:rsid w:val="00DE42B3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normalny tekst,BulletC,Wyliczanie,Obiekt,Akapit z listą31,Bullets,Preambuła,Wypunktowanie,CW_Lista,Akapit z listą siwz,Podsis rysunku,Akapit z listą numerowaną,Akapit z listą3,Normal2,List Paragraph1,lp1"/>
    <w:basedOn w:val="Normalny"/>
    <w:link w:val="AkapitzlistZnak"/>
    <w:uiPriority w:val="34"/>
    <w:qFormat/>
    <w:rsid w:val="00DE42B3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normalny tekst Znak,BulletC Znak,Wyliczanie Znak,Obiekt Znak,Akapit z listą31 Znak,Bullets Znak,Preambuła Znak,Wypunktowanie Znak,CW_Lista Znak,Akapit z listą siwz Znak,Podsis rysunku Znak"/>
    <w:basedOn w:val="Domylnaczcionkaakapitu"/>
    <w:link w:val="Akapitzlist"/>
    <w:uiPriority w:val="34"/>
    <w:qFormat/>
    <w:locked/>
    <w:rsid w:val="00B27E2F"/>
    <w:rPr>
      <w:rFonts w:ascii="Calibri Light" w:eastAsia="Times New Roman" w:hAnsi="Calibri Light" w:cs="Times New Roman"/>
      <w:sz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149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361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3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3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26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828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52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38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peat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ED762-94BF-427D-AED7-59FDA47D6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15</Pages>
  <Words>3214</Words>
  <Characters>19289</Characters>
  <Application>Microsoft Office Word</Application>
  <DocSecurity>0</DocSecurity>
  <Lines>160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Jarosław Smyczyński</dc:creator>
  <cp:keywords/>
  <dc:description/>
  <cp:lastModifiedBy>Tomasz Szreiber</cp:lastModifiedBy>
  <cp:revision>22</cp:revision>
  <dcterms:created xsi:type="dcterms:W3CDTF">2024-06-07T09:26:00Z</dcterms:created>
  <dcterms:modified xsi:type="dcterms:W3CDTF">2026-02-06T11:34:00Z</dcterms:modified>
</cp:coreProperties>
</file>