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FE2AD" w14:textId="33E677F3" w:rsidR="00643C3C" w:rsidRPr="006C5686" w:rsidRDefault="00000000" w:rsidP="006C5686">
      <w:pPr>
        <w:spacing w:before="240" w:after="0" w:line="240" w:lineRule="auto"/>
        <w:jc w:val="right"/>
        <w:rPr>
          <w:rFonts w:ascii="Times New Roman" w:eastAsia="Times New Roman" w:hAnsi="Times New Roman" w:cs="Calibri"/>
          <w:bCs/>
          <w:sz w:val="24"/>
          <w:szCs w:val="24"/>
          <w:lang w:eastAsia="pl-PL"/>
        </w:rPr>
      </w:pPr>
      <w:bookmarkStart w:id="0" w:name="_Hlk188603456"/>
      <w:r w:rsidRPr="006C5686">
        <w:rPr>
          <w:rFonts w:ascii="Times New Roman" w:eastAsia="Times New Roman" w:hAnsi="Times New Roman" w:cs="Calibri"/>
          <w:bCs/>
          <w:sz w:val="24"/>
          <w:szCs w:val="24"/>
          <w:lang w:eastAsia="pl-PL"/>
        </w:rPr>
        <w:t xml:space="preserve">Załącznik nr </w:t>
      </w:r>
      <w:r w:rsidR="00DB56A6">
        <w:rPr>
          <w:rFonts w:ascii="Times New Roman" w:eastAsia="Times New Roman" w:hAnsi="Times New Roman" w:cs="Calibri"/>
          <w:bCs/>
          <w:sz w:val="24"/>
          <w:szCs w:val="24"/>
          <w:lang w:eastAsia="pl-PL"/>
        </w:rPr>
        <w:t>9.1</w:t>
      </w:r>
      <w:r w:rsidRPr="006C5686">
        <w:rPr>
          <w:rFonts w:ascii="Times New Roman" w:eastAsia="Times New Roman" w:hAnsi="Times New Roman" w:cs="Calibri"/>
          <w:bCs/>
          <w:sz w:val="24"/>
          <w:szCs w:val="24"/>
          <w:lang w:eastAsia="pl-PL"/>
        </w:rPr>
        <w:t xml:space="preserve"> do SWZ</w:t>
      </w:r>
    </w:p>
    <w:p w14:paraId="76774F9B" w14:textId="77777777" w:rsidR="006C5686" w:rsidRDefault="006C5686" w:rsidP="006C5686">
      <w:pPr>
        <w:spacing w:before="240" w:after="0" w:line="240" w:lineRule="auto"/>
        <w:jc w:val="center"/>
        <w:rPr>
          <w:rFonts w:ascii="Times New Roman" w:eastAsia="Times New Roman" w:hAnsi="Times New Roman" w:cs="Calibri"/>
          <w:b/>
          <w:sz w:val="24"/>
          <w:szCs w:val="24"/>
          <w:lang w:eastAsia="pl-PL"/>
        </w:rPr>
      </w:pPr>
    </w:p>
    <w:p w14:paraId="5050FDD7" w14:textId="305CE2D8" w:rsidR="00643C3C" w:rsidRPr="006C5686" w:rsidRDefault="00000000" w:rsidP="006C5686">
      <w:pPr>
        <w:spacing w:before="240"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Calibri"/>
          <w:b/>
          <w:sz w:val="24"/>
          <w:szCs w:val="24"/>
          <w:lang w:eastAsia="pl-PL"/>
        </w:rPr>
        <w:t>SPECYFIKACJA TECHNICZNA WYKONANIA I ODBIORU ROBÓT (</w:t>
      </w:r>
      <w:proofErr w:type="spellStart"/>
      <w:r>
        <w:rPr>
          <w:rFonts w:ascii="Times New Roman" w:eastAsia="Times New Roman" w:hAnsi="Times New Roman" w:cs="Calibri"/>
          <w:b/>
          <w:sz w:val="24"/>
          <w:szCs w:val="24"/>
          <w:lang w:eastAsia="pl-PL"/>
        </w:rPr>
        <w:t>STWiOR</w:t>
      </w:r>
      <w:proofErr w:type="spellEnd"/>
      <w:r>
        <w:rPr>
          <w:rFonts w:ascii="Times New Roman" w:eastAsia="Times New Roman" w:hAnsi="Times New Roman" w:cs="Calibri"/>
          <w:b/>
          <w:sz w:val="24"/>
          <w:szCs w:val="24"/>
          <w:lang w:eastAsia="pl-PL"/>
        </w:rPr>
        <w:t xml:space="preserve">) </w:t>
      </w:r>
      <w:r>
        <w:rPr>
          <w:rFonts w:ascii="Times New Roman" w:eastAsia="Times New Roman" w:hAnsi="Times New Roman" w:cs="Calibri"/>
          <w:b/>
          <w:bCs/>
          <w:sz w:val="24"/>
          <w:szCs w:val="24"/>
          <w:lang w:eastAsia="pl-PL"/>
        </w:rPr>
        <w:t>DLA ZADANIA:</w:t>
      </w:r>
      <w:bookmarkEnd w:id="0"/>
    </w:p>
    <w:p w14:paraId="52C1457F" w14:textId="77777777" w:rsidR="00725258" w:rsidRDefault="00725258" w:rsidP="006C5686">
      <w:pPr>
        <w:pStyle w:val="Bezodstpw"/>
        <w:jc w:val="center"/>
        <w:rPr>
          <w:rFonts w:ascii="Times New Roman" w:hAnsi="Times New Roman" w:cs="Times New Roman"/>
          <w:b/>
          <w:sz w:val="32"/>
          <w:szCs w:val="24"/>
        </w:rPr>
      </w:pPr>
      <w:bookmarkStart w:id="1" w:name="_Hlk188536653"/>
      <w:r>
        <w:rPr>
          <w:rFonts w:ascii="Times New Roman" w:hAnsi="Times New Roman" w:cs="Times New Roman"/>
          <w:b/>
          <w:sz w:val="32"/>
          <w:szCs w:val="24"/>
        </w:rPr>
        <w:t xml:space="preserve">„Remonty cząstkowe nawierzchni dróg na terenie </w:t>
      </w:r>
    </w:p>
    <w:p w14:paraId="5B93F78C" w14:textId="4D12A5D4" w:rsidR="00725258" w:rsidRDefault="00725258" w:rsidP="006C5686">
      <w:pPr>
        <w:pStyle w:val="Bezodstpw"/>
        <w:jc w:val="center"/>
        <w:rPr>
          <w:rFonts w:ascii="Times New Roman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b/>
          <w:sz w:val="32"/>
          <w:szCs w:val="24"/>
        </w:rPr>
        <w:t>gminy Lubsza w 202</w:t>
      </w:r>
      <w:r w:rsidR="00010F85">
        <w:rPr>
          <w:rFonts w:ascii="Times New Roman" w:hAnsi="Times New Roman" w:cs="Times New Roman"/>
          <w:b/>
          <w:sz w:val="32"/>
          <w:szCs w:val="24"/>
        </w:rPr>
        <w:t>6</w:t>
      </w:r>
      <w:r>
        <w:rPr>
          <w:rFonts w:ascii="Times New Roman" w:hAnsi="Times New Roman" w:cs="Times New Roman"/>
          <w:b/>
          <w:sz w:val="32"/>
          <w:szCs w:val="24"/>
        </w:rPr>
        <w:t xml:space="preserve"> r.”</w:t>
      </w:r>
      <w:bookmarkEnd w:id="1"/>
      <w:r>
        <w:rPr>
          <w:rFonts w:ascii="Times New Roman" w:hAnsi="Times New Roman" w:cs="Times New Roman"/>
          <w:b/>
          <w:sz w:val="32"/>
          <w:szCs w:val="24"/>
        </w:rPr>
        <w:t xml:space="preserve"> </w:t>
      </w:r>
    </w:p>
    <w:p w14:paraId="222E2734" w14:textId="46440027" w:rsidR="00725258" w:rsidRDefault="00725258" w:rsidP="006C5686">
      <w:pPr>
        <w:pStyle w:val="Bezodstpw"/>
        <w:jc w:val="center"/>
        <w:rPr>
          <w:rFonts w:ascii="Times New Roman" w:hAnsi="Times New Roman" w:cs="Times New Roman"/>
          <w:b/>
          <w:sz w:val="32"/>
          <w:szCs w:val="24"/>
        </w:rPr>
      </w:pPr>
      <w:r w:rsidRPr="00725258">
        <w:rPr>
          <w:rFonts w:ascii="Times New Roman" w:hAnsi="Times New Roman" w:cs="Times New Roman"/>
          <w:b/>
          <w:bCs/>
          <w:sz w:val="32"/>
          <w:szCs w:val="24"/>
        </w:rPr>
        <w:t>Część 1 Remonty dróg o nawierzchni bitumicznej</w:t>
      </w:r>
    </w:p>
    <w:p w14:paraId="53D44178" w14:textId="77777777" w:rsidR="009E274B" w:rsidRDefault="009E274B" w:rsidP="006C5686">
      <w:pPr>
        <w:spacing w:before="240" w:after="0" w:line="240" w:lineRule="auto"/>
        <w:rPr>
          <w:rFonts w:ascii="Times New Roman" w:eastAsia="Times New Roman" w:hAnsi="Times New Roman" w:cs="Calibri"/>
          <w:sz w:val="24"/>
          <w:szCs w:val="24"/>
          <w:lang w:eastAsia="pl-PL"/>
        </w:rPr>
      </w:pPr>
    </w:p>
    <w:p w14:paraId="3C611A5B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 WSTĘP</w:t>
      </w:r>
    </w:p>
    <w:p w14:paraId="743CD951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1.1. Przedmiot </w:t>
      </w:r>
      <w:bookmarkStart w:id="2" w:name="_Hlk188603551"/>
      <w:proofErr w:type="spellStart"/>
      <w:r>
        <w:rPr>
          <w:rFonts w:ascii="Times New Roman" w:eastAsia="Times New Roman" w:hAnsi="Times New Roman" w:cs="Calibri"/>
          <w:sz w:val="24"/>
          <w:szCs w:val="24"/>
          <w:lang w:eastAsia="pl-PL"/>
        </w:rPr>
        <w:t>STWiOR</w:t>
      </w:r>
      <w:bookmarkEnd w:id="2"/>
      <w:proofErr w:type="spellEnd"/>
    </w:p>
    <w:p w14:paraId="5D69E479" w14:textId="1FD85A3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Przedmiotem niniejszej specyfikacji technicznej są wymagania dotyczące wykonania i odbioru robót drogowych związanych z remontem cząstkowym dróg o nawierzchni bitumicznej, metodą na ciepło przy użyciu masy bitumicznej.</w:t>
      </w:r>
    </w:p>
    <w:p w14:paraId="426ECD19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1.2. Zakres stosowania </w:t>
      </w:r>
      <w:proofErr w:type="spellStart"/>
      <w:r>
        <w:rPr>
          <w:rFonts w:ascii="Times New Roman" w:eastAsia="Times New Roman" w:hAnsi="Times New Roman" w:cs="Calibri"/>
          <w:sz w:val="24"/>
          <w:szCs w:val="24"/>
          <w:lang w:eastAsia="pl-PL"/>
        </w:rPr>
        <w:t>STWiOR</w:t>
      </w:r>
      <w:proofErr w:type="spellEnd"/>
    </w:p>
    <w:p w14:paraId="2FBF1B70" w14:textId="00B80AB6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Specyfikacja techniczna jest dokumentem przetargowym i kontraktowym przy zlecaniu i realizacji robót wymienionych w pkt 1.1. na drogach o nawierzchni bitumicznej układanych na gorąco.</w:t>
      </w:r>
    </w:p>
    <w:p w14:paraId="518C6BFB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1.3. Zakres robót objętych </w:t>
      </w:r>
      <w:proofErr w:type="spellStart"/>
      <w:r>
        <w:rPr>
          <w:rFonts w:ascii="Times New Roman" w:eastAsia="Times New Roman" w:hAnsi="Times New Roman" w:cs="Calibri"/>
          <w:sz w:val="24"/>
          <w:szCs w:val="24"/>
          <w:lang w:eastAsia="pl-PL"/>
        </w:rPr>
        <w:t>STWiOR</w:t>
      </w:r>
      <w:proofErr w:type="spellEnd"/>
    </w:p>
    <w:p w14:paraId="1317634A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Ustalenia zawarte w niniejszej specyfikacji dotyczą zasad prowadzenia robót związanych </w:t>
      </w:r>
      <w:r>
        <w:rPr>
          <w:rFonts w:ascii="Times New Roman" w:eastAsia="Times New Roman" w:hAnsi="Times New Roman" w:cs="Calibri"/>
          <w:sz w:val="24"/>
          <w:szCs w:val="24"/>
          <w:lang w:eastAsia="pl-PL"/>
        </w:rPr>
        <w:br/>
        <w:t>z wykonaniem i odbiorem remontu cząstkowego dróg przy użyciu masy bitumicznej.</w:t>
      </w:r>
    </w:p>
    <w:p w14:paraId="0348BEF7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1.4.Określenia ustawowe</w:t>
      </w:r>
    </w:p>
    <w:p w14:paraId="18D2BC3C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1.4.1.Remont cząstkowy nawierzchni</w:t>
      </w:r>
    </w:p>
    <w:p w14:paraId="678C0D9B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–zespół zabiegów technicznych, wykonywanych na bieżąco, związanych z usuwaniem uszkodzeń nawierzchni zagrażających bezpieczeństwu ruchu drogowego, jak również zabiegi obejmujące małe powierzchnie, hamujące proces powiększania się powstałych uszkodzeń. Pojęcie „remont cząstkowy nawierzchni”, polega na odnowieniu uszkodzonych warstw z uzupełnieniem warstw podbudowy. Powyższe mieści się w ogólnym pojęciu „utrzymanie nawierzchni”, a to z kolei jest objęte ogólniejszym pojęciem „utrzymanie dróg”.</w:t>
      </w:r>
    </w:p>
    <w:p w14:paraId="02F2F2EA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1.4.2. Ubytek</w:t>
      </w:r>
    </w:p>
    <w:p w14:paraId="3D5DBB4C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–wykruszenie materiału mineralno-bitumicznego na głębokość nie większą niż grubość warstwy ścieralnej.</w:t>
      </w:r>
    </w:p>
    <w:p w14:paraId="4FE7269B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1.4.3. Wybój</w:t>
      </w:r>
    </w:p>
    <w:p w14:paraId="71C0EA89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–wykruszenie materiału mineralno-bitumicznego na głębokość większą niż grubość warstwy ścieralnej.</w:t>
      </w:r>
    </w:p>
    <w:p w14:paraId="10F28EFF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lastRenderedPageBreak/>
        <w:t>1.4.4. Spękania nawierzchni bitumicznej</w:t>
      </w:r>
    </w:p>
    <w:p w14:paraId="44647E9D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–spowodowane nisko nośnością powstałą w wyniku </w:t>
      </w:r>
      <w:proofErr w:type="spellStart"/>
      <w:r>
        <w:rPr>
          <w:rFonts w:ascii="Times New Roman" w:eastAsia="Times New Roman" w:hAnsi="Times New Roman" w:cs="Calibri"/>
          <w:sz w:val="24"/>
          <w:szCs w:val="24"/>
          <w:lang w:eastAsia="pl-PL"/>
        </w:rPr>
        <w:t>naprężeń</w:t>
      </w:r>
      <w:proofErr w:type="spellEnd"/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 zginających, gdy nawierzchnia asfaltowa pod obciążeniem jest tak silnie przeginana, że asfalt jest rozciągany poza dopuszczalną miarę i pęka.</w:t>
      </w:r>
    </w:p>
    <w:p w14:paraId="5E5A2CCB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1.4.5. Recykling nawierzchni asfaltowej</w:t>
      </w:r>
    </w:p>
    <w:p w14:paraId="447546D5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–powtórne użycie mieszanki mineralno-asfaltowej odzyskanej z nawierzchni.</w:t>
      </w:r>
    </w:p>
    <w:p w14:paraId="622B201C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1.4.6. Przetworzona mieszanka mineralno-asfaltowa</w:t>
      </w:r>
    </w:p>
    <w:p w14:paraId="2B7BBDFF" w14:textId="403FC5D0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–mieszanka mineralno-asfaltowa złożona z odpowiednio przygotowanego materiału odzyskanego z nawierzchni oraz dodatku nowych materiałów jak: kruszywo, wypełniacz i asfalt, a w razie potrzeby również środka odnawiającego.</w:t>
      </w:r>
    </w:p>
    <w:p w14:paraId="4534A1B9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1.4.7. Stabilizacja mechaniczna</w:t>
      </w:r>
    </w:p>
    <w:p w14:paraId="0F2D17FE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-proces technologiczny – polegający na odpowiednim zagęszczeniu w optymalnej wilgotności kruszywa o właściwie dobranym uziarnieniu.</w:t>
      </w:r>
    </w:p>
    <w:p w14:paraId="4FFE205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1.5. Wymagania dotyczące robót</w:t>
      </w:r>
    </w:p>
    <w:p w14:paraId="632ADAB4" w14:textId="769A8EAC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Podczas realizacji robót Wykonawca będzie przestrzegać przepisów dotyczących bezpieczeństwa i higieny pracy. Wykonawca ma obowiązek zabezpieczyć i oznakować teren wykonywania robót na drodze. Pojazd wykonujący prace powinien być oznakowany zgodnie ze  stosownymi przepisami zapewniając bezpieczeństwo ruchu drogowego.</w:t>
      </w:r>
    </w:p>
    <w:p w14:paraId="7E152153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2. MATERIAŁY</w:t>
      </w:r>
    </w:p>
    <w:p w14:paraId="0BAC699D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2.1. Wymagania dotyczące materiałów</w:t>
      </w:r>
    </w:p>
    <w:p w14:paraId="705C5445" w14:textId="226065AE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Wykonawca do realizacji zamówienia pozyska pełnowartościowe materiały posiadające atesty,</w:t>
      </w:r>
      <w:r w:rsidR="009E274B"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Calibri"/>
          <w:sz w:val="24"/>
          <w:szCs w:val="24"/>
          <w:lang w:eastAsia="pl-PL"/>
        </w:rPr>
        <w:t>certyfikaty itp. określone przepisami prawa dokumenty. Jeżeli przewidziana do wykonania naprawa będzie wymagała zastosowania wyborów innych niż opisane poniżej, wykonawca może otrzymać polecenie zastosowania innych materiałów o cenach jak zaoferowanych w ofercie. Decyzję o rodzaju zastosowanych wyrobów podejmie osoba wskazana przez Zamawiającego.</w:t>
      </w:r>
    </w:p>
    <w:p w14:paraId="2119C9AA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2.2.1. Kruszywo-asfalt</w:t>
      </w:r>
    </w:p>
    <w:p w14:paraId="755A3620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Do wykonania recyklingu na gorąco w otaczarce należy stosować kruszywa w proporcjach </w:t>
      </w:r>
      <w:r>
        <w:rPr>
          <w:rFonts w:ascii="Times New Roman" w:eastAsia="Times New Roman" w:hAnsi="Times New Roman" w:cs="Calibri"/>
          <w:sz w:val="24"/>
          <w:szCs w:val="24"/>
          <w:lang w:eastAsia="pl-PL"/>
        </w:rPr>
        <w:br/>
        <w:t>i o parametrach jakościowych zależnych od przeznaczenia przetworzonej mieszanki mineralno-bitumicznej oraz od właściwości kruszywa zawartego w materiale odzyskanym z nawierzchni asfaltowej, dla kategorii ruchu KR 1-2.</w:t>
      </w:r>
    </w:p>
    <w:p w14:paraId="20DB72BF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2.2.2. Wypełniacz</w:t>
      </w:r>
    </w:p>
    <w:p w14:paraId="1DCDCC73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Wypełniacz użyty w procesie recyklingu w otaczarce na gorąco, przetworzonej mieszanki mineralno-bitumicznej dla kategorii ruchu KR 1-2.5</w:t>
      </w:r>
    </w:p>
    <w:p w14:paraId="7B29210E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lastRenderedPageBreak/>
        <w:t>2.2.3. Mieszanka mineralno-asfaltowa (na zimno), asfalt frezowany (na zimno) o frakcji drobnej i kruszywa łamanego o frakcji 0-63.</w:t>
      </w:r>
    </w:p>
    <w:p w14:paraId="73E608A6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3. SPRZĘT</w:t>
      </w:r>
    </w:p>
    <w:p w14:paraId="5AE6BE2A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3.1. Wymagania dotyczące sprzętu</w:t>
      </w:r>
    </w:p>
    <w:p w14:paraId="611A46D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Wykonawca zobowiązany jest do używania sprzętu, który nie spowoduje niekorzystnego wpływu na jakość wykonywanych robót.</w:t>
      </w:r>
    </w:p>
    <w:p w14:paraId="481BBFE7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3.2. Sprzęt do wykonywania remontu cząstkowego</w:t>
      </w:r>
    </w:p>
    <w:p w14:paraId="6B9DE40C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Wykonawca przystępujący do wykonywania remontu cząstkowego za pomocą recyklingu powinien wykazywać się możliwością korzystania z następującego sprzętu:</w:t>
      </w:r>
    </w:p>
    <w:p w14:paraId="2342861D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-wytwórni mieszanek mineralno-asfaltowych na gorąco lub kotłów produkcyjno-transportowych holowanych przez ciągniki lub samochody (</w:t>
      </w:r>
      <w:proofErr w:type="spellStart"/>
      <w:r>
        <w:rPr>
          <w:rFonts w:ascii="Times New Roman" w:eastAsia="Times New Roman" w:hAnsi="Times New Roman" w:cs="Calibri"/>
          <w:sz w:val="24"/>
          <w:szCs w:val="24"/>
          <w:lang w:eastAsia="pl-PL"/>
        </w:rPr>
        <w:t>recykler</w:t>
      </w:r>
      <w:proofErr w:type="spellEnd"/>
      <w:r>
        <w:rPr>
          <w:rFonts w:ascii="Times New Roman" w:eastAsia="Times New Roman" w:hAnsi="Times New Roman" w:cs="Calibri"/>
          <w:sz w:val="24"/>
          <w:szCs w:val="24"/>
          <w:lang w:eastAsia="pl-PL"/>
        </w:rPr>
        <w:t>)</w:t>
      </w:r>
    </w:p>
    <w:p w14:paraId="4A1FD3C9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-przecinaki z diamentową tarczą lub młotem pneumatycznym do przycinania krawędzi miejsc uszkodzonych</w:t>
      </w:r>
    </w:p>
    <w:p w14:paraId="420CAA46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-zagęszczarki płytowej w zależności od wielkości ubytków.</w:t>
      </w:r>
    </w:p>
    <w:p w14:paraId="7AED1A9D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4. TRANSPORT</w:t>
      </w:r>
    </w:p>
    <w:p w14:paraId="7522FB68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4.1. Wykonawca jest zobowiązany do stosowania jedynie takich środków transportowych, które nie wpływają niekorzystanie na jakość oraz utratę ciepła przewożonych materiałów.</w:t>
      </w:r>
    </w:p>
    <w:p w14:paraId="5A13C715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 WYKONANIE ROBÓT</w:t>
      </w:r>
    </w:p>
    <w:p w14:paraId="43C945AC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5.1. Warunki przystąpienia do robót</w:t>
      </w:r>
    </w:p>
    <w:p w14:paraId="1B82B78C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Zamawiający wraz z Wykonawcą dokona objazdu dróg celem sprawdzenia stanu nawierzchni </w:t>
      </w:r>
      <w:r>
        <w:rPr>
          <w:rFonts w:ascii="Times New Roman" w:eastAsia="Times New Roman" w:hAnsi="Times New Roman" w:cs="Calibri"/>
          <w:sz w:val="24"/>
          <w:szCs w:val="24"/>
          <w:lang w:eastAsia="pl-PL"/>
        </w:rPr>
        <w:br/>
        <w:t>w zakresie uszkodzeń oraz wyboru techniki materiałów do dokonywania naprawy. Niezależnie od tego, w przypadku wystąpienia nagłego zdarzenia wymagającego naprawy nawierzchni drogi, Wykonawca na wezwanie Zamawiającego przystąpi niezwłocznie do wykonywania robót naprawczych.</w:t>
      </w:r>
    </w:p>
    <w:p w14:paraId="00C82418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5.2. Przygotowanie do robót</w:t>
      </w:r>
    </w:p>
    <w:p w14:paraId="191D62F8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Przygotowanie do naprawy uszkodzonego miejsca na drogach o nawierzchni bitumicznej oraz asfaltu frezowanego polega na:</w:t>
      </w:r>
    </w:p>
    <w:p w14:paraId="176A8B0E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-pionowym obcięciu krawędzi uszkodzenia nadając im kształt figury geometrycznej,</w:t>
      </w:r>
    </w:p>
    <w:p w14:paraId="6D655796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-oczyszczeniu odsłoniętej podbudowy,</w:t>
      </w:r>
    </w:p>
    <w:p w14:paraId="63DE003A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-skropieniu podbudowy emulsją bitumiczną,</w:t>
      </w:r>
    </w:p>
    <w:p w14:paraId="56BB9480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-usunięciu wody, doprowadzając uszkodzone miejsce do stanu powietrzno-suchego,</w:t>
      </w:r>
    </w:p>
    <w:p w14:paraId="753CCDC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-wyrównaniu i uzupełnieniu głębszych ubytków, należy je wypełnić warstwowo materiałem kolejno gruboziarnistym następnie drobnoziarnistym i starannie zagęścić,</w:t>
      </w:r>
    </w:p>
    <w:p w14:paraId="38AE94D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lastRenderedPageBreak/>
        <w:t>-wykonaniu nawierzchni drogi masą bitumiczną lub asfaltem frezowanym,</w:t>
      </w:r>
    </w:p>
    <w:p w14:paraId="1C90142F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-pokryciu emulsją połączeń starej i nowej warstwy bitumicznej,</w:t>
      </w:r>
    </w:p>
    <w:p w14:paraId="5E630505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-mechaniczne zagęszczenie wypełnionej łaty.</w:t>
      </w:r>
    </w:p>
    <w:p w14:paraId="17C488A1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Warstwę z mieszanki mineralno-asfaltowej należy układać na suchej lub wysuszonej powierzchni, zabrania się układania mieszanek w czasie niekorzystnych warunków atmosferycznych (opady deszczu, śniegu, ujemna temperatura).</w:t>
      </w:r>
    </w:p>
    <w:p w14:paraId="69BA4CF8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5.2.1. Przygotowanie uszkodzonego ubytku i jego uzupełnienie powinno być wykonane na grubości 5 cm. Jeżeli grubość ubytku jest mniejsza niż 5 cm, należy odkuć uszkodzone miejsce i wykonać naprawę tak, aby warstwa ścieralna miała 5 cm grubości.</w:t>
      </w:r>
    </w:p>
    <w:p w14:paraId="2B27C70C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5.2.2. Przygotowanie uszkodzonego wyboju i jego uzupełnienie powinno być wykonane dwuwarstwowo po 5 i 4 cm warstwy wiążącej i ścieralnej, łącznie 9 cm. Jeżeli grubość wyboju jest mniejsza niż 9 cm, należy przygotować uszkodzone miejsce do wypełnienia na grubość 9 cm. Jeżeli głębokość wyboju jest większa niż 9 cm należy wykonać podbudowę o docelowej grubości  20 cm tak, aby wykonać dwie warstwy bitumiczne po 5 i 4 cm.</w:t>
      </w:r>
    </w:p>
    <w:p w14:paraId="300BE1FD" w14:textId="67298E2A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5.2.3. Podbudowa powinna być wykonana z kruszywa łamanego, dolomitu,</w:t>
      </w:r>
      <w:r w:rsidR="009E274B">
        <w:rPr>
          <w:rFonts w:ascii="Times New Roman" w:eastAsia="Times New Roman" w:hAnsi="Times New Roman" w:cs="Calibri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Calibri"/>
          <w:sz w:val="24"/>
          <w:szCs w:val="24"/>
          <w:lang w:eastAsia="pl-PL"/>
        </w:rPr>
        <w:t>mieszanki optymalnej o frakcji 0-31,5mm lub 0-63 mm.</w:t>
      </w:r>
    </w:p>
    <w:p w14:paraId="52E97D74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5.2.4. Naprawa podłużnych i poprzecznych spękań nawierzchni bitumicznych:</w:t>
      </w:r>
    </w:p>
    <w:p w14:paraId="627E9D1C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-dokładne oczyszczenie nawierzchni i ścianek przy pęknięciach,</w:t>
      </w:r>
    </w:p>
    <w:p w14:paraId="2E5E3070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-osuszenie uszkodzonego miejsca doprowadzając do stanu powietrzno-suchego,</w:t>
      </w:r>
    </w:p>
    <w:p w14:paraId="6E74F66D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-skropienie emulsją asfaltową,</w:t>
      </w:r>
    </w:p>
    <w:p w14:paraId="181EA737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-równomiernie posypanie materiałem drobnoziarnistym (grys),</w:t>
      </w:r>
    </w:p>
    <w:p w14:paraId="6B01A6F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-zagęszczenie materiału drobnoziarnistego (grys).</w:t>
      </w:r>
    </w:p>
    <w:p w14:paraId="396E741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5.2.5. W przypadku zawyżonych poboczy należy przewidzieć konieczność wykonania rowów odprowadzających wodę.</w:t>
      </w:r>
    </w:p>
    <w:p w14:paraId="5D67AE94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6. KONTROLA JAKOŚCI ROBÓT</w:t>
      </w:r>
    </w:p>
    <w:p w14:paraId="6DA14E03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6.1. Badania przed przystąpieniem do robót</w:t>
      </w:r>
    </w:p>
    <w:p w14:paraId="603AB8A8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Przed przystąpieniem do robót Wykonawca powinien uzyskać aprobaty techniczne na materiały oraz wymagane wyniki badań materiałów przeznaczonych do wykonania robót i przedstawić je Zamawiającemu do akceptacji.</w:t>
      </w:r>
    </w:p>
    <w:p w14:paraId="47CAF0B4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6.2. Kontrola w czasie wykonywania robót</w:t>
      </w:r>
    </w:p>
    <w:p w14:paraId="4F8103E7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W trakcie wykonywania napraw uszkodzeń należy kontrolować:</w:t>
      </w:r>
    </w:p>
    <w:p w14:paraId="237F9EF2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-przygotowanie naprawianych powierzchni do nakładania mieszanki,</w:t>
      </w:r>
    </w:p>
    <w:p w14:paraId="72015E36" w14:textId="77777777" w:rsidR="00643C3C" w:rsidRDefault="00000000" w:rsidP="006C5686">
      <w:pPr>
        <w:spacing w:before="240" w:after="0" w:line="240" w:lineRule="auto"/>
        <w:jc w:val="both"/>
        <w:rPr>
          <w:rFonts w:ascii="Times New Roman" w:eastAsia="Times New Roman" w:hAnsi="Times New Roman" w:cs="Calibri"/>
          <w:sz w:val="24"/>
          <w:szCs w:val="24"/>
          <w:lang w:eastAsia="pl-PL"/>
        </w:rPr>
      </w:pPr>
      <w:r>
        <w:rPr>
          <w:rFonts w:ascii="Times New Roman" w:eastAsia="Times New Roman" w:hAnsi="Times New Roman" w:cs="Calibri"/>
          <w:sz w:val="24"/>
          <w:szCs w:val="24"/>
          <w:lang w:eastAsia="pl-PL"/>
        </w:rPr>
        <w:t>-równość naprawianych fragmentów nawierzchni.</w:t>
      </w:r>
    </w:p>
    <w:p w14:paraId="39883594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7. OBMIAR ROBÓT</w:t>
      </w:r>
    </w:p>
    <w:p w14:paraId="397C4143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7.1. Zasady obmiaru robót</w:t>
      </w:r>
    </w:p>
    <w:p w14:paraId="6EE080A7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Obmiar robót będzie określać faktyczny zakres wykonywanych robót. Wyniki obmiaru będą zapisane do księgi obmiarów, którą prowadzi Wykonawca.</w:t>
      </w:r>
    </w:p>
    <w:p w14:paraId="35B4744A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7.2. Jednostka obmiarowa</w:t>
      </w:r>
    </w:p>
    <w:p w14:paraId="66DE0AD4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Jednostką obmiaru robót jest m² (metr kwadratowy).</w:t>
      </w:r>
    </w:p>
    <w:p w14:paraId="6F525FF3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8. ODBIÓR ROBÓT</w:t>
      </w:r>
    </w:p>
    <w:p w14:paraId="4637CD8F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8.1. Ogólne zasady odbioru robót</w:t>
      </w:r>
    </w:p>
    <w:p w14:paraId="65D5D085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Roboty uznaje się za wykonane z specyfikacjami technicznymi i wymaganiami Zamawiającego jeśli wszystkie pomiary i badania dały wyniki pozytywne.</w:t>
      </w:r>
    </w:p>
    <w:p w14:paraId="56AD7BE5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9. Podstawa płatności</w:t>
      </w:r>
    </w:p>
    <w:p w14:paraId="5876EA83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9.1. Cena jednostki obmiarowej</w:t>
      </w:r>
    </w:p>
    <w:p w14:paraId="650F9A20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Cena wykonania 1m² remontu cząstkowego nawierzchni obejmuje:</w:t>
      </w:r>
    </w:p>
    <w:p w14:paraId="2298A51A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-prace pomiarowe i roboty przygotowawcze,</w:t>
      </w:r>
    </w:p>
    <w:p w14:paraId="5502AA5D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-oznakowanie robót,</w:t>
      </w:r>
    </w:p>
    <w:p w14:paraId="624E9C68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-wywóz odpadów,</w:t>
      </w:r>
    </w:p>
    <w:p w14:paraId="7CD32DD3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-dostarczenie materiałów i sprzętu na budowę,</w:t>
      </w:r>
    </w:p>
    <w:p w14:paraId="4C91F502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-wykonanie naprawy zgodnie 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STWiOR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14:paraId="16712339" w14:textId="77777777" w:rsidR="00643C3C" w:rsidRDefault="00000000" w:rsidP="006C5686">
      <w:pPr>
        <w:spacing w:before="24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-regulacja włazów, wpustów, zasuw,</w:t>
      </w:r>
    </w:p>
    <w:p w14:paraId="0D60FEDA" w14:textId="77777777" w:rsidR="00643C3C" w:rsidRDefault="00000000" w:rsidP="006C5686">
      <w:pPr>
        <w:spacing w:before="240" w:after="0" w:line="240" w:lineRule="auto"/>
        <w:jc w:val="both"/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-odtransportowanie sprzętu z placu budowy.</w:t>
      </w:r>
    </w:p>
    <w:sectPr w:rsidR="00643C3C">
      <w:pgSz w:w="11906" w:h="16838"/>
      <w:pgMar w:top="1417" w:right="1417" w:bottom="1417" w:left="1417" w:header="708" w:footer="72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F24B92" w14:textId="77777777" w:rsidR="00AF4CAE" w:rsidRDefault="00AF4CAE">
      <w:pPr>
        <w:spacing w:after="0" w:line="240" w:lineRule="auto"/>
      </w:pPr>
      <w:r>
        <w:separator/>
      </w:r>
    </w:p>
  </w:endnote>
  <w:endnote w:type="continuationSeparator" w:id="0">
    <w:p w14:paraId="5B9F0C11" w14:textId="77777777" w:rsidR="00AF4CAE" w:rsidRDefault="00AF4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5924C3" w14:textId="77777777" w:rsidR="00AF4CAE" w:rsidRDefault="00AF4CAE">
      <w:pPr>
        <w:spacing w:after="0" w:line="240" w:lineRule="auto"/>
      </w:pPr>
      <w:r>
        <w:separator/>
      </w:r>
    </w:p>
  </w:footnote>
  <w:footnote w:type="continuationSeparator" w:id="0">
    <w:p w14:paraId="63D1E5C4" w14:textId="77777777" w:rsidR="00AF4CAE" w:rsidRDefault="00AF4C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C3C"/>
    <w:rsid w:val="00010F85"/>
    <w:rsid w:val="00064971"/>
    <w:rsid w:val="00250255"/>
    <w:rsid w:val="00384947"/>
    <w:rsid w:val="00483000"/>
    <w:rsid w:val="0055173D"/>
    <w:rsid w:val="00595F7E"/>
    <w:rsid w:val="00643C3C"/>
    <w:rsid w:val="006C5686"/>
    <w:rsid w:val="00725258"/>
    <w:rsid w:val="007D464C"/>
    <w:rsid w:val="00845096"/>
    <w:rsid w:val="009D24C9"/>
    <w:rsid w:val="009D6565"/>
    <w:rsid w:val="009E274B"/>
    <w:rsid w:val="00AA1D82"/>
    <w:rsid w:val="00AF4CAE"/>
    <w:rsid w:val="00B934C4"/>
    <w:rsid w:val="00BE0738"/>
    <w:rsid w:val="00BF59B4"/>
    <w:rsid w:val="00D024DE"/>
    <w:rsid w:val="00DB56A6"/>
    <w:rsid w:val="00DF72DE"/>
    <w:rsid w:val="00FE6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84871"/>
  <w15:docId w15:val="{72A307A1-8F9A-4D56-9D64-03FB2B2FF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rPr>
      <w:color w:val="0000FF"/>
      <w:u w:val="single"/>
    </w:rPr>
  </w:style>
  <w:style w:type="character" w:customStyle="1" w:styleId="NagwekZnak">
    <w:name w:val="Nagłówek Znak"/>
    <w:basedOn w:val="Domylnaczcionkaakapitu"/>
    <w:qFormat/>
  </w:style>
  <w:style w:type="character" w:customStyle="1" w:styleId="StopkaZnak">
    <w:name w:val="Stopka Znak"/>
    <w:basedOn w:val="Domylnaczcionkaakapitu"/>
    <w:qFormat/>
  </w:style>
  <w:style w:type="paragraph" w:styleId="Nagwek">
    <w:name w:val="header"/>
    <w:basedOn w:val="Normalny"/>
    <w:next w:val="Tekstpodstawowy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ezodstpwZnak">
    <w:name w:val="Bez odstępów Znak"/>
    <w:basedOn w:val="Domylnaczcionkaakapitu"/>
    <w:link w:val="Bezodstpw"/>
    <w:uiPriority w:val="1"/>
    <w:locked/>
    <w:rsid w:val="00725258"/>
  </w:style>
  <w:style w:type="paragraph" w:styleId="Bezodstpw">
    <w:name w:val="No Spacing"/>
    <w:link w:val="BezodstpwZnak"/>
    <w:uiPriority w:val="1"/>
    <w:qFormat/>
    <w:rsid w:val="007252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469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1235</Words>
  <Characters>7416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</dc:creator>
  <dc:description/>
  <cp:lastModifiedBy>Gmina Lubsza</cp:lastModifiedBy>
  <cp:revision>2</cp:revision>
  <cp:lastPrinted>2022-08-17T11:10:00Z</cp:lastPrinted>
  <dcterms:created xsi:type="dcterms:W3CDTF">2026-03-05T09:29:00Z</dcterms:created>
  <dcterms:modified xsi:type="dcterms:W3CDTF">2026-03-05T09:29:00Z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