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8C45F" w14:textId="77777777" w:rsidR="008F05FD" w:rsidRPr="00C91C0B" w:rsidRDefault="006D2594" w:rsidP="00C91C0B">
      <w:pPr>
        <w:contextualSpacing/>
        <w:jc w:val="right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C91C0B">
        <w:rPr>
          <w:rFonts w:ascii="Calibri" w:eastAsia="Calibri" w:hAnsi="Calibri" w:cs="Calibri"/>
          <w:b/>
          <w:color w:val="000000"/>
          <w:sz w:val="24"/>
          <w:szCs w:val="24"/>
        </w:rPr>
        <w:t>Załącznik nr 2 do SWZ</w:t>
      </w:r>
    </w:p>
    <w:p w14:paraId="45E2282F" w14:textId="77777777" w:rsidR="008F05FD" w:rsidRPr="00C91C0B" w:rsidRDefault="008F05FD" w:rsidP="00C91C0B">
      <w:pPr>
        <w:contextualSpacing/>
        <w:rPr>
          <w:rFonts w:ascii="Calibri" w:eastAsia="Calibri" w:hAnsi="Calibri" w:cs="Calibri"/>
          <w:sz w:val="24"/>
          <w:szCs w:val="24"/>
        </w:rPr>
      </w:pPr>
    </w:p>
    <w:p w14:paraId="102C6B58" w14:textId="77777777" w:rsidR="008F05FD" w:rsidRPr="00C91C0B" w:rsidRDefault="006D2594" w:rsidP="00C91C0B">
      <w:pPr>
        <w:contextualSpacing/>
        <w:jc w:val="center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C91C0B">
        <w:rPr>
          <w:rFonts w:ascii="Calibri" w:eastAsia="Calibri" w:hAnsi="Calibri" w:cs="Calibri"/>
          <w:b/>
          <w:color w:val="000000"/>
          <w:sz w:val="24"/>
          <w:szCs w:val="24"/>
        </w:rPr>
        <w:t>OPIS PRZEDMIOTU ZAMÓWIENIA</w:t>
      </w:r>
    </w:p>
    <w:p w14:paraId="131EC166" w14:textId="77777777" w:rsidR="008F05FD" w:rsidRPr="00C91C0B" w:rsidRDefault="008F05FD" w:rsidP="00C91C0B">
      <w:pPr>
        <w:contextualSpacing/>
        <w:jc w:val="center"/>
        <w:rPr>
          <w:rFonts w:ascii="Calibri" w:eastAsia="Calibri" w:hAnsi="Calibri" w:cs="Calibri"/>
          <w:b/>
          <w:sz w:val="24"/>
          <w:szCs w:val="24"/>
          <w:u w:val="single"/>
        </w:rPr>
      </w:pPr>
    </w:p>
    <w:p w14:paraId="1DEE22E6" w14:textId="77777777" w:rsidR="008F05FD" w:rsidRPr="00C91C0B" w:rsidRDefault="006D2594" w:rsidP="00C91C0B">
      <w:pPr>
        <w:contextualSpacing/>
        <w:jc w:val="center"/>
        <w:rPr>
          <w:rFonts w:ascii="Calibri" w:eastAsia="Calibri" w:hAnsi="Calibri" w:cs="Calibri"/>
          <w:b/>
          <w:sz w:val="24"/>
          <w:szCs w:val="24"/>
        </w:rPr>
      </w:pPr>
      <w:r w:rsidRPr="00C91C0B">
        <w:rPr>
          <w:rFonts w:ascii="Calibri" w:eastAsia="Calibri" w:hAnsi="Calibri" w:cs="Calibri"/>
          <w:b/>
          <w:sz w:val="24"/>
          <w:szCs w:val="24"/>
        </w:rPr>
        <w:t xml:space="preserve">Wszystkie produkty muszą być fabrycznie nowe, nieużywane. </w:t>
      </w:r>
    </w:p>
    <w:p w14:paraId="6E853360" w14:textId="41F25770" w:rsidR="00C05ABB" w:rsidRDefault="00C05ABB" w:rsidP="00C91C0B">
      <w:pPr>
        <w:contextualSpacing/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2A678743" w14:textId="77777777" w:rsidR="00C05ABB" w:rsidRPr="00C91C0B" w:rsidRDefault="00C05ABB" w:rsidP="00C91C0B">
      <w:pPr>
        <w:contextualSpacing/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08E4C590" w14:textId="4B7BEC0B" w:rsidR="00C05ABB" w:rsidRPr="00C91C0B" w:rsidRDefault="00C91C0B" w:rsidP="00C91C0B">
      <w:pPr>
        <w:shd w:val="clear" w:color="auto" w:fill="FFFFFF"/>
        <w:contextualSpacing/>
        <w:jc w:val="both"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Klauzula równoważności:</w:t>
      </w:r>
      <w:r w:rsidRPr="00C91C0B">
        <w:rPr>
          <w:rFonts w:ascii="Calibri" w:hAnsi="Calibri" w:cs="Calibri"/>
          <w:color w:val="000000"/>
          <w:sz w:val="24"/>
          <w:szCs w:val="24"/>
        </w:rPr>
        <w:t> Ilekroć w niniejszym opisie pojawiają się nazwy własne, znaki towarowe, normy lub specyficzne technologie, Zamawiający dopuszcza rozwiązania równoważne, pod warunkiem, że spełniają one minimalne parametry techniczne, funkcjonalne i edukacyjne określone poniżej.</w:t>
      </w:r>
    </w:p>
    <w:p w14:paraId="77212499" w14:textId="77777777" w:rsidR="00C91C0B" w:rsidRDefault="00C91C0B" w:rsidP="00C91C0B">
      <w:pPr>
        <w:shd w:val="clear" w:color="auto" w:fill="FFFFFF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 </w:t>
      </w:r>
    </w:p>
    <w:p w14:paraId="7C9C0A6D" w14:textId="0DAF0BC0" w:rsidR="006875EF" w:rsidRDefault="006875EF" w:rsidP="006875EF">
      <w:pPr>
        <w:shd w:val="clear" w:color="auto" w:fill="FFFFFF"/>
        <w:contextualSpacing/>
        <w:jc w:val="center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 xml:space="preserve">Przedmiotem zamówienia są </w:t>
      </w:r>
      <w:r w:rsidRPr="006875EF">
        <w:rPr>
          <w:rFonts w:ascii="Calibri" w:hAnsi="Calibri" w:cs="Calibri"/>
          <w:b/>
          <w:bCs/>
          <w:color w:val="000000"/>
          <w:sz w:val="24"/>
          <w:szCs w:val="24"/>
        </w:rPr>
        <w:t>4 roboty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– każdy musi spełniać wszystkie wskazane poniżej warunki: </w:t>
      </w:r>
    </w:p>
    <w:p w14:paraId="4F574538" w14:textId="77777777" w:rsidR="006875EF" w:rsidRPr="00C91C0B" w:rsidRDefault="006875EF" w:rsidP="00C91C0B">
      <w:pPr>
        <w:shd w:val="clear" w:color="auto" w:fill="FFFFFF"/>
        <w:contextualSpacing/>
        <w:rPr>
          <w:rFonts w:ascii="Calibri" w:hAnsi="Calibri" w:cs="Calibri"/>
          <w:color w:val="000000"/>
          <w:sz w:val="24"/>
          <w:szCs w:val="24"/>
        </w:rPr>
      </w:pPr>
    </w:p>
    <w:p w14:paraId="4D8607DA" w14:textId="77777777" w:rsidR="00C91C0B" w:rsidRPr="00C91C0B" w:rsidRDefault="00C91C0B" w:rsidP="00C91C0B">
      <w:pPr>
        <w:shd w:val="clear" w:color="auto" w:fill="FFFFFF"/>
        <w:contextualSpacing/>
        <w:outlineLvl w:val="3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1. Wymagania ogólne i konstrukcyjne manipulatora</w:t>
      </w:r>
    </w:p>
    <w:p w14:paraId="29E82338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Typ robota:</w:t>
      </w:r>
      <w:r w:rsidRPr="00C91C0B">
        <w:rPr>
          <w:rFonts w:ascii="Calibri" w:hAnsi="Calibri" w:cs="Calibri"/>
          <w:color w:val="000000"/>
          <w:sz w:val="24"/>
          <w:szCs w:val="24"/>
        </w:rPr>
        <w:t> Robot przemysłowy lub edukacyjny o konstrukcji przegubowej, minimum 6-osiowy.</w:t>
      </w:r>
    </w:p>
    <w:p w14:paraId="499BD9D5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Materiał konstrukcyjny:</w:t>
      </w:r>
      <w:r w:rsidRPr="00C91C0B">
        <w:rPr>
          <w:rFonts w:ascii="Calibri" w:hAnsi="Calibri" w:cs="Calibri"/>
          <w:color w:val="000000"/>
          <w:sz w:val="24"/>
          <w:szCs w:val="24"/>
        </w:rPr>
        <w:t> Ramię wykonane z materiałów lekkich i nowoczesnych: wysokowytrzymałych tworzyw inżynieryjnych (polimerów), kompozytów, włókna węglowego lub lekkich stopów metali (np. aluminium). Konstrukcja musi zapewniać sztywność przy zachowaniu niskiej masy własnej.</w:t>
      </w:r>
    </w:p>
    <w:p w14:paraId="7B00ACF2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Masa manipulatora:</w:t>
      </w:r>
      <w:r w:rsidRPr="00C91C0B">
        <w:rPr>
          <w:rFonts w:ascii="Calibri" w:hAnsi="Calibri" w:cs="Calibri"/>
          <w:color w:val="000000"/>
          <w:sz w:val="24"/>
          <w:szCs w:val="24"/>
        </w:rPr>
        <w:t> Konstrukcja typu mobilnego/biurkowego (desktop). Waga samego ramienia robota nie może przekraczać 25 kg.</w:t>
      </w:r>
    </w:p>
    <w:p w14:paraId="63F7C7AF" w14:textId="77777777" w:rsidR="00C91C0B" w:rsidRPr="00C05AB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05ABB">
        <w:rPr>
          <w:rFonts w:ascii="Calibri" w:hAnsi="Calibri" w:cs="Calibri"/>
          <w:b/>
          <w:bCs/>
          <w:color w:val="000000"/>
          <w:sz w:val="24"/>
          <w:szCs w:val="24"/>
        </w:rPr>
        <w:t>Udźwig:</w:t>
      </w:r>
      <w:r w:rsidR="00F47BF0" w:rsidRPr="00C05ABB">
        <w:rPr>
          <w:rFonts w:ascii="Calibri" w:hAnsi="Calibri" w:cs="Calibri"/>
          <w:color w:val="000000"/>
          <w:sz w:val="24"/>
          <w:szCs w:val="24"/>
        </w:rPr>
        <w:t xml:space="preserve">  </w:t>
      </w:r>
      <w:r w:rsidR="00B95337" w:rsidRPr="00C05ABB">
        <w:rPr>
          <w:rFonts w:ascii="Calibri" w:hAnsi="Calibri" w:cs="Calibri"/>
          <w:color w:val="000000"/>
          <w:sz w:val="24"/>
          <w:szCs w:val="24"/>
        </w:rPr>
        <w:t>M</w:t>
      </w:r>
      <w:r w:rsidRPr="00C05ABB">
        <w:rPr>
          <w:rFonts w:ascii="Calibri" w:hAnsi="Calibri" w:cs="Calibri"/>
          <w:color w:val="000000"/>
          <w:sz w:val="24"/>
          <w:szCs w:val="24"/>
        </w:rPr>
        <w:t>inimum 0.5 kg (udźwig nominalny liczony bez chwytaka).</w:t>
      </w:r>
    </w:p>
    <w:p w14:paraId="33B46382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Zasięg:</w:t>
      </w:r>
      <w:r w:rsidRPr="00C91C0B">
        <w:rPr>
          <w:rFonts w:ascii="Calibri" w:hAnsi="Calibri" w:cs="Calibri"/>
          <w:color w:val="000000"/>
          <w:sz w:val="24"/>
          <w:szCs w:val="24"/>
        </w:rPr>
        <w:t> Promień obszaru roboczego minimum 440 mm (liczony do kołnierza kiści).</w:t>
      </w:r>
    </w:p>
    <w:p w14:paraId="2A5A5163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Zakresy ruchu:</w:t>
      </w:r>
    </w:p>
    <w:p w14:paraId="65F110AA" w14:textId="77777777" w:rsidR="00C91C0B" w:rsidRPr="00C91C0B" w:rsidRDefault="00C91C0B" w:rsidP="00C91C0B">
      <w:pPr>
        <w:numPr>
          <w:ilvl w:val="1"/>
          <w:numId w:val="11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Oś 6 (obrót kiści): minimum +/- 360 stopni.</w:t>
      </w:r>
    </w:p>
    <w:p w14:paraId="6C193175" w14:textId="77777777" w:rsidR="00C91C0B" w:rsidRPr="00C91C0B" w:rsidRDefault="00C91C0B" w:rsidP="00C91C0B">
      <w:pPr>
        <w:numPr>
          <w:ilvl w:val="1"/>
          <w:numId w:val="11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Oś 1 (podstawa): minimum +/- 150 stopni.</w:t>
      </w:r>
    </w:p>
    <w:p w14:paraId="1D8B3E55" w14:textId="77777777" w:rsidR="00C91C0B" w:rsidRPr="00C91C0B" w:rsidRDefault="00C91C0B" w:rsidP="00C91C0B">
      <w:p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 </w:t>
      </w:r>
    </w:p>
    <w:p w14:paraId="01E2FADB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Powtarzalność pozycjonowania:</w:t>
      </w:r>
      <w:r w:rsidRPr="00C91C0B">
        <w:rPr>
          <w:rFonts w:ascii="Calibri" w:hAnsi="Calibri" w:cs="Calibri"/>
          <w:color w:val="000000"/>
          <w:sz w:val="24"/>
          <w:szCs w:val="24"/>
        </w:rPr>
        <w:t> +/- 0.5 mm lub lepsza (precyzja mierzona wg normy ISO 9283 lub równoważnej). Powtarzalność musi być zachowana po ponownym uruchomieniu maszyny bez konieczności ponownej kalibracji.</w:t>
      </w:r>
    </w:p>
    <w:p w14:paraId="7BBE4AF8" w14:textId="77777777" w:rsidR="00C91C0B" w:rsidRP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Zasilanie:</w:t>
      </w:r>
      <w:r w:rsidRPr="00C91C0B">
        <w:rPr>
          <w:rFonts w:ascii="Calibri" w:hAnsi="Calibri" w:cs="Calibri"/>
          <w:color w:val="000000"/>
          <w:sz w:val="24"/>
          <w:szCs w:val="24"/>
        </w:rPr>
        <w:t> Napięcie znamionowe 24V DC. Urządzenie musi być przystosowane do współpracy ze standardowymi zasilaczami laboratoryjnymi lub posiadać dedykowany zasilacz zewnętrzny w standardzie bezpiecznego napięcia.</w:t>
      </w:r>
    </w:p>
    <w:p w14:paraId="4E4EFAC4" w14:textId="77777777" w:rsidR="00C91C0B" w:rsidRDefault="00C91C0B" w:rsidP="00C91C0B">
      <w:pPr>
        <w:numPr>
          <w:ilvl w:val="0"/>
          <w:numId w:val="11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Pobór mocy:</w:t>
      </w:r>
      <w:r w:rsidRPr="00C91C0B">
        <w:rPr>
          <w:rFonts w:ascii="Calibri" w:hAnsi="Calibri" w:cs="Calibri"/>
          <w:color w:val="000000"/>
          <w:sz w:val="24"/>
          <w:szCs w:val="24"/>
        </w:rPr>
        <w:t> Robot energooszczędny. Maksymalny pobór mocy zestawu poniżej 200W (przy pełnym obciążeniu).</w:t>
      </w:r>
    </w:p>
    <w:p w14:paraId="46F7068C" w14:textId="77777777" w:rsidR="00C91C0B" w:rsidRPr="00C91C0B" w:rsidRDefault="00C91C0B" w:rsidP="00C91C0B">
      <w:p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</w:p>
    <w:p w14:paraId="0DC2FE6E" w14:textId="77777777" w:rsidR="00C91C0B" w:rsidRPr="00C91C0B" w:rsidRDefault="00C91C0B" w:rsidP="00C91C0B">
      <w:pPr>
        <w:shd w:val="clear" w:color="auto" w:fill="FFFFFF"/>
        <w:contextualSpacing/>
        <w:outlineLvl w:val="3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2. System sterowania i bezpieczeństwa</w:t>
      </w:r>
    </w:p>
    <w:p w14:paraId="0CA78613" w14:textId="77777777" w:rsidR="00C91C0B" w:rsidRPr="00C91C0B" w:rsidRDefault="00C91C0B" w:rsidP="00C91C0B">
      <w:pPr>
        <w:numPr>
          <w:ilvl w:val="0"/>
          <w:numId w:val="12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Kontroler:</w:t>
      </w:r>
      <w:r w:rsidRPr="00C91C0B">
        <w:rPr>
          <w:rFonts w:ascii="Calibri" w:hAnsi="Calibri" w:cs="Calibri"/>
          <w:color w:val="000000"/>
          <w:sz w:val="24"/>
          <w:szCs w:val="24"/>
        </w:rPr>
        <w:t> Zintegrowany w podstawie robota lub w formie zewnętrznej jednostki sterującej o kompaktowych wymiarach.</w:t>
      </w:r>
    </w:p>
    <w:p w14:paraId="11CF3EA7" w14:textId="77777777" w:rsidR="00C91C0B" w:rsidRPr="00C91C0B" w:rsidRDefault="00C91C0B" w:rsidP="00C91C0B">
      <w:pPr>
        <w:numPr>
          <w:ilvl w:val="0"/>
          <w:numId w:val="12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System wykrywania kolizji:</w:t>
      </w:r>
      <w:r w:rsidRPr="00C91C0B">
        <w:rPr>
          <w:rFonts w:ascii="Calibri" w:hAnsi="Calibri" w:cs="Calibri"/>
          <w:color w:val="000000"/>
          <w:sz w:val="24"/>
          <w:szCs w:val="24"/>
        </w:rPr>
        <w:t> Wymagany system (programowy lub czujnikowy) wykrywający przeciążenie lub kolizję z przeszkodą, powodujący natychmiastowe zatrzymanie robota w celu ochrony napędów i otoczenia.</w:t>
      </w:r>
    </w:p>
    <w:p w14:paraId="56A3458A" w14:textId="77777777" w:rsidR="00C91C0B" w:rsidRPr="00C91C0B" w:rsidRDefault="00C91C0B" w:rsidP="00C91C0B">
      <w:pPr>
        <w:numPr>
          <w:ilvl w:val="0"/>
          <w:numId w:val="12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Wyłącznik bezpieczeństwa (E-STOP):</w:t>
      </w:r>
      <w:r w:rsidRPr="00C91C0B">
        <w:rPr>
          <w:rFonts w:ascii="Calibri" w:hAnsi="Calibri" w:cs="Calibri"/>
          <w:color w:val="000000"/>
          <w:sz w:val="24"/>
          <w:szCs w:val="24"/>
        </w:rPr>
        <w:t> Fizyczny przycisk bezpieczeństwa (grzybek) montowany poza obszarem roboczym ramienia (na panelu sterującym lub jako oddzielny moduł przewodowy).</w:t>
      </w:r>
    </w:p>
    <w:p w14:paraId="50AF93CD" w14:textId="77777777" w:rsidR="00C91C0B" w:rsidRPr="00C91C0B" w:rsidRDefault="00C91C0B" w:rsidP="00C91C0B">
      <w:pPr>
        <w:numPr>
          <w:ilvl w:val="0"/>
          <w:numId w:val="12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lastRenderedPageBreak/>
        <w:t>Urządzenie zezwalające (Deadman Switch):</w:t>
      </w:r>
      <w:r w:rsidRPr="00C91C0B">
        <w:rPr>
          <w:rFonts w:ascii="Calibri" w:hAnsi="Calibri" w:cs="Calibri"/>
          <w:color w:val="000000"/>
          <w:sz w:val="24"/>
          <w:szCs w:val="24"/>
        </w:rPr>
        <w:t> Wymagany system przycisku zezwolenia (Deadman Switch) zgodny z logiką 3-pozycyjną lub funkcją równoważną zapewniającą bezpieczeństwo operatora podczas programowania w trybie ręcznym.</w:t>
      </w:r>
    </w:p>
    <w:p w14:paraId="7AC6030D" w14:textId="77777777" w:rsidR="00C91C0B" w:rsidRPr="00C91C0B" w:rsidRDefault="00C91C0B" w:rsidP="00C91C0B">
      <w:pPr>
        <w:numPr>
          <w:ilvl w:val="1"/>
          <w:numId w:val="12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Dopuszcza się rozwiązanie w postaci przycisku zintegrowanego w panelu sterującym (Teach Pendant) </w:t>
      </w: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LUB</w:t>
      </w:r>
      <w:r w:rsidRPr="00C91C0B">
        <w:rPr>
          <w:rFonts w:ascii="Calibri" w:hAnsi="Calibri" w:cs="Calibri"/>
          <w:color w:val="000000"/>
          <w:sz w:val="24"/>
          <w:szCs w:val="24"/>
        </w:rPr>
        <w:t> zewnętrznego, przewodowego urządzenia bezpieczeństwa trzymanego w dłoni, współpracującego z oprogramowaniem sterującym (w przypadku sterowania z poziomu tabletu/PC).</w:t>
      </w:r>
    </w:p>
    <w:p w14:paraId="196FF2ED" w14:textId="77777777" w:rsidR="00C91C0B" w:rsidRDefault="00C91C0B" w:rsidP="00C91C0B">
      <w:pPr>
        <w:numPr>
          <w:ilvl w:val="0"/>
          <w:numId w:val="12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Logika bezpieczeństwa:</w:t>
      </w:r>
      <w:r w:rsidRPr="00C91C0B">
        <w:rPr>
          <w:rFonts w:ascii="Calibri" w:hAnsi="Calibri" w:cs="Calibri"/>
          <w:color w:val="000000"/>
          <w:sz w:val="24"/>
          <w:szCs w:val="24"/>
        </w:rPr>
        <w:t> Zadziałanie układu bezpieczeństwa musi powodować odcięcie zasilania napędów (zatrzymanie w kategorii 0 lub 1), przy czym hamulce lub przekładnie muszą utrzymać ramię w pozycji (brak opadania ramienia), a chwytak nie może upuścić detalu.</w:t>
      </w:r>
    </w:p>
    <w:p w14:paraId="76C72278" w14:textId="77777777" w:rsidR="00C91C0B" w:rsidRPr="00C91C0B" w:rsidRDefault="00C91C0B" w:rsidP="00C91C0B">
      <w:p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</w:p>
    <w:p w14:paraId="50825486" w14:textId="77777777" w:rsidR="00C91C0B" w:rsidRPr="00C91C0B" w:rsidRDefault="00C91C0B" w:rsidP="00C91C0B">
      <w:pPr>
        <w:shd w:val="clear" w:color="auto" w:fill="FFFFFF"/>
        <w:contextualSpacing/>
        <w:outlineLvl w:val="3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3. Programowanie i funkcje edukacyjne</w:t>
      </w:r>
    </w:p>
    <w:p w14:paraId="32F16721" w14:textId="77777777" w:rsidR="00C91C0B" w:rsidRPr="00C91C0B" w:rsidRDefault="00C91C0B" w:rsidP="00C91C0B">
      <w:pPr>
        <w:numPr>
          <w:ilvl w:val="0"/>
          <w:numId w:val="13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Oprogramowanie sterujące:</w:t>
      </w:r>
      <w:r w:rsidRPr="00C91C0B">
        <w:rPr>
          <w:rFonts w:ascii="Calibri" w:hAnsi="Calibri" w:cs="Calibri"/>
          <w:color w:val="000000"/>
          <w:sz w:val="24"/>
          <w:szCs w:val="24"/>
        </w:rPr>
        <w:t> Dostarczone na licencji dożywotniej (perpetual), bez konieczności wnoszenia cyklicznych opłat subskrypcyjnych. Kompatybilne z systemem Windows.</w:t>
      </w:r>
    </w:p>
    <w:p w14:paraId="720E3DA5" w14:textId="77777777" w:rsidR="00C91C0B" w:rsidRPr="00C91C0B" w:rsidRDefault="00C91C0B" w:rsidP="00C91C0B">
      <w:pPr>
        <w:numPr>
          <w:ilvl w:val="0"/>
          <w:numId w:val="13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Język programowania:</w:t>
      </w:r>
      <w:r w:rsidRPr="00C91C0B">
        <w:rPr>
          <w:rFonts w:ascii="Calibri" w:hAnsi="Calibri" w:cs="Calibri"/>
          <w:color w:val="000000"/>
          <w:sz w:val="24"/>
          <w:szCs w:val="24"/>
        </w:rPr>
        <w:t> Możliwość programowania robota w oparciu o składnię tekstową, umożliwiającą naukę logiki programowania obiektowego lub strukturalnego.</w:t>
      </w:r>
    </w:p>
    <w:p w14:paraId="275FC8EC" w14:textId="77777777" w:rsidR="00C91C0B" w:rsidRPr="00C91C0B" w:rsidRDefault="00C91C0B" w:rsidP="00C91C0B">
      <w:p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 </w:t>
      </w:r>
    </w:p>
    <w:p w14:paraId="20ABC174" w14:textId="77777777" w:rsidR="00C91C0B" w:rsidRPr="00C91C0B" w:rsidRDefault="00C91C0B" w:rsidP="00C91C0B">
      <w:pPr>
        <w:numPr>
          <w:ilvl w:val="1"/>
          <w:numId w:val="13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Wymagana obsługa: zmiennych, pętli (Loop/While), instrukcji warunkowych (If/Then/Else), podprogramów oraz sterowania wejściami/wyjściami.</w:t>
      </w:r>
    </w:p>
    <w:p w14:paraId="7829500F" w14:textId="77777777" w:rsidR="00C91C0B" w:rsidRPr="00C91C0B" w:rsidRDefault="00C91C0B" w:rsidP="00C91C0B">
      <w:pPr>
        <w:numPr>
          <w:ilvl w:val="1"/>
          <w:numId w:val="13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Dopuszczalne języki: Dedykowane języki robotów (np. AS-Language, KRL) LUB uniwersalne języki skryptowe (np. Python, Lua, C++).</w:t>
      </w:r>
    </w:p>
    <w:p w14:paraId="63F1563E" w14:textId="77777777" w:rsidR="00C91C0B" w:rsidRPr="00C91C0B" w:rsidRDefault="00C91C0B" w:rsidP="00C91C0B">
      <w:p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 </w:t>
      </w:r>
    </w:p>
    <w:p w14:paraId="3C868009" w14:textId="77777777" w:rsidR="00C91C0B" w:rsidRPr="00C91C0B" w:rsidRDefault="00C91C0B" w:rsidP="00C91C0B">
      <w:pPr>
        <w:numPr>
          <w:ilvl w:val="0"/>
          <w:numId w:val="13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Programowanie graficzne:</w:t>
      </w:r>
      <w:r w:rsidRPr="00C91C0B">
        <w:rPr>
          <w:rFonts w:ascii="Calibri" w:hAnsi="Calibri" w:cs="Calibri"/>
          <w:color w:val="000000"/>
          <w:sz w:val="24"/>
          <w:szCs w:val="24"/>
        </w:rPr>
        <w:t> Opcjonalnie dostępny interfejs blokowy (wizualny) dedykowany dla początkujących użytkowników.</w:t>
      </w:r>
    </w:p>
    <w:p w14:paraId="0EEAA83F" w14:textId="77777777" w:rsidR="00C91C0B" w:rsidRPr="00C91C0B" w:rsidRDefault="00C91C0B" w:rsidP="00C91C0B">
      <w:pPr>
        <w:numPr>
          <w:ilvl w:val="0"/>
          <w:numId w:val="13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Interfejs operatorski:</w:t>
      </w:r>
      <w:r w:rsidRPr="00C91C0B">
        <w:rPr>
          <w:rFonts w:ascii="Calibri" w:hAnsi="Calibri" w:cs="Calibri"/>
          <w:color w:val="000000"/>
          <w:sz w:val="24"/>
          <w:szCs w:val="24"/>
        </w:rPr>
        <w:t> Sterowanie za pomocą fizycznego panelu dotykowego (Teach Pendant) LUB za pomocą komputera PC/tabletu połączonego z robotem.</w:t>
      </w:r>
    </w:p>
    <w:p w14:paraId="5B453D98" w14:textId="77777777" w:rsidR="00C91C0B" w:rsidRPr="00C91C0B" w:rsidRDefault="00C91C0B" w:rsidP="00C91C0B">
      <w:pPr>
        <w:numPr>
          <w:ilvl w:val="0"/>
          <w:numId w:val="13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Symulacja:</w:t>
      </w:r>
      <w:r w:rsidRPr="00C91C0B">
        <w:rPr>
          <w:rFonts w:ascii="Calibri" w:hAnsi="Calibri" w:cs="Calibri"/>
          <w:color w:val="000000"/>
          <w:sz w:val="24"/>
          <w:szCs w:val="24"/>
        </w:rPr>
        <w:t> Dostarczenie oprogramowania typu "Digital Twin" lub symulatora offline, umożliwiającego programowanie wirtualnego robota, weryfikację zasięgów, wykrywanie kolizji i import modeli 3D bez konieczności fizycznego podłączenia do urządzenia.</w:t>
      </w:r>
    </w:p>
    <w:p w14:paraId="0A58DFB7" w14:textId="77777777" w:rsidR="00C91C0B" w:rsidRPr="00C91C0B" w:rsidRDefault="00C91C0B" w:rsidP="00C91C0B">
      <w:p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 </w:t>
      </w:r>
    </w:p>
    <w:p w14:paraId="0E8B2DC0" w14:textId="77777777" w:rsidR="00C91C0B" w:rsidRPr="00C91C0B" w:rsidRDefault="00C91C0B" w:rsidP="00C91C0B">
      <w:pPr>
        <w:shd w:val="clear" w:color="auto" w:fill="FFFFFF"/>
        <w:contextualSpacing/>
        <w:outlineLvl w:val="3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4. Wyposażenie peryferyjne i interfejsy</w:t>
      </w:r>
    </w:p>
    <w:p w14:paraId="0C66D00E" w14:textId="77777777" w:rsidR="00C91C0B" w:rsidRPr="00C91C0B" w:rsidRDefault="00C91C0B" w:rsidP="00C91C0B">
      <w:pPr>
        <w:numPr>
          <w:ilvl w:val="0"/>
          <w:numId w:val="14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Komunikacja:</w:t>
      </w:r>
      <w:r w:rsidRPr="00C91C0B">
        <w:rPr>
          <w:rFonts w:ascii="Calibri" w:hAnsi="Calibri" w:cs="Calibri"/>
          <w:color w:val="000000"/>
          <w:sz w:val="24"/>
          <w:szCs w:val="24"/>
        </w:rPr>
        <w:t> Port Ethernet (TCP/IP), USB. Obsługa protokołu Modbus TCP (Klient/Serwer) umożliwiająca wymianę danych ze sterownikami PLC.</w:t>
      </w:r>
    </w:p>
    <w:p w14:paraId="5F48707E" w14:textId="77777777" w:rsidR="00C91C0B" w:rsidRPr="00C91C0B" w:rsidRDefault="00C91C0B" w:rsidP="00C91C0B">
      <w:pPr>
        <w:numPr>
          <w:ilvl w:val="0"/>
          <w:numId w:val="14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Wejścia/Wyjścia:</w:t>
      </w:r>
      <w:r w:rsidRPr="00C91C0B">
        <w:rPr>
          <w:rFonts w:ascii="Calibri" w:hAnsi="Calibri" w:cs="Calibri"/>
          <w:color w:val="000000"/>
          <w:sz w:val="24"/>
          <w:szCs w:val="24"/>
        </w:rPr>
        <w:t> Dostępny moduł wejść/wyjść cyfrowych (Digital I/O) – min. 2 wejścia i 2 wyjścia z możliwością konfiguracji.</w:t>
      </w:r>
    </w:p>
    <w:p w14:paraId="79106F95" w14:textId="77777777" w:rsidR="00C91C0B" w:rsidRPr="00C91C0B" w:rsidRDefault="00C91C0B" w:rsidP="00C91C0B">
      <w:pPr>
        <w:numPr>
          <w:ilvl w:val="0"/>
          <w:numId w:val="14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Zestaw chwytaków (wymienne):</w:t>
      </w:r>
      <w:r w:rsidRPr="00C91C0B">
        <w:rPr>
          <w:rFonts w:ascii="Calibri" w:hAnsi="Calibri" w:cs="Calibri"/>
          <w:color w:val="000000"/>
          <w:sz w:val="24"/>
          <w:szCs w:val="24"/>
        </w:rPr>
        <w:t> W zestawie muszą znajdować się minimum 3 różne końcówki robocze, w tym:</w:t>
      </w:r>
    </w:p>
    <w:p w14:paraId="069590DB" w14:textId="77777777" w:rsidR="00C91C0B" w:rsidRPr="00C91C0B" w:rsidRDefault="00C91C0B" w:rsidP="00C91C0B">
      <w:pPr>
        <w:numPr>
          <w:ilvl w:val="1"/>
          <w:numId w:val="14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Chwytak mechaniczny/szczękowy (elektryczny lub pneumatyczny).</w:t>
      </w:r>
    </w:p>
    <w:p w14:paraId="32E2E06D" w14:textId="77777777" w:rsidR="00C91C0B" w:rsidRPr="00C91C0B" w:rsidRDefault="00C91C0B" w:rsidP="00C91C0B">
      <w:pPr>
        <w:numPr>
          <w:ilvl w:val="1"/>
          <w:numId w:val="14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Chwytak podciśnieniowy (ssawka) wraz z generatorem podciśnienia (pompa lub eżektor).</w:t>
      </w:r>
    </w:p>
    <w:p w14:paraId="44C87849" w14:textId="77777777" w:rsidR="00C91C0B" w:rsidRPr="00C91C0B" w:rsidRDefault="00C91C0B" w:rsidP="00C91C0B">
      <w:p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 </w:t>
      </w:r>
    </w:p>
    <w:p w14:paraId="59BB5552" w14:textId="77777777" w:rsidR="00C91C0B" w:rsidRPr="00C91C0B" w:rsidRDefault="00C91C0B" w:rsidP="00C91C0B">
      <w:pPr>
        <w:numPr>
          <w:ilvl w:val="1"/>
          <w:numId w:val="14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lastRenderedPageBreak/>
        <w:t>Chwytak specjalny (np. magnetyczny, pisak lub inny dedykowany do manipulacji). </w:t>
      </w:r>
    </w:p>
    <w:p w14:paraId="02C50B9A" w14:textId="77777777" w:rsidR="00C91C0B" w:rsidRPr="00C91C0B" w:rsidRDefault="00C91C0B" w:rsidP="00C91C0B">
      <w:pPr>
        <w:numPr>
          <w:ilvl w:val="0"/>
          <w:numId w:val="14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Przenośnik taśmowy (Transporter):</w:t>
      </w:r>
    </w:p>
    <w:p w14:paraId="5C5ABA22" w14:textId="77777777" w:rsidR="00C91C0B" w:rsidRPr="00C91C0B" w:rsidRDefault="00C91C0B" w:rsidP="00C91C0B">
      <w:pPr>
        <w:numPr>
          <w:ilvl w:val="1"/>
          <w:numId w:val="15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Długość taśmy: min. 400 mm.</w:t>
      </w:r>
    </w:p>
    <w:p w14:paraId="1FA3841F" w14:textId="77777777" w:rsidR="00C91C0B" w:rsidRPr="00C91C0B" w:rsidRDefault="00C91C0B" w:rsidP="00C91C0B">
      <w:pPr>
        <w:numPr>
          <w:ilvl w:val="1"/>
          <w:numId w:val="15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Szerokość taśmy: min. 40 mm.</w:t>
      </w:r>
    </w:p>
    <w:p w14:paraId="5F10549A" w14:textId="77777777" w:rsidR="00C91C0B" w:rsidRPr="00C91C0B" w:rsidRDefault="00C91C0B" w:rsidP="00C91C0B">
      <w:pPr>
        <w:numPr>
          <w:ilvl w:val="1"/>
          <w:numId w:val="15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Sterowanie: Kompatybilne z systemem sterowania robota (sygnały 24V DC lub dedykowany interfejs).</w:t>
      </w:r>
    </w:p>
    <w:p w14:paraId="108A92C2" w14:textId="77777777" w:rsidR="00C91C0B" w:rsidRPr="00C91C0B" w:rsidRDefault="00C91C0B" w:rsidP="00C91C0B">
      <w:pPr>
        <w:numPr>
          <w:ilvl w:val="1"/>
          <w:numId w:val="15"/>
        </w:numPr>
        <w:shd w:val="clear" w:color="auto" w:fill="FFFFFF"/>
        <w:ind w:left="2610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color w:val="000000"/>
          <w:sz w:val="24"/>
          <w:szCs w:val="24"/>
        </w:rPr>
        <w:t>Wyposażenie: Czujnik obecności detalu (z regulacją położenia).</w:t>
      </w:r>
    </w:p>
    <w:p w14:paraId="2F2CC4CA" w14:textId="77777777" w:rsidR="00C91C0B" w:rsidRPr="00C91C0B" w:rsidRDefault="00C91C0B" w:rsidP="00C91C0B">
      <w:pPr>
        <w:shd w:val="clear" w:color="auto" w:fill="FFFFFF"/>
        <w:contextualSpacing/>
        <w:outlineLvl w:val="3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5. Pozostałe wymagania</w:t>
      </w:r>
    </w:p>
    <w:p w14:paraId="63864895" w14:textId="77777777" w:rsidR="00C91C0B" w:rsidRPr="00C91C0B" w:rsidRDefault="00C91C0B" w:rsidP="00C91C0B">
      <w:pPr>
        <w:numPr>
          <w:ilvl w:val="0"/>
          <w:numId w:val="16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Certyfikacja:</w:t>
      </w:r>
      <w:r w:rsidRPr="00C91C0B">
        <w:rPr>
          <w:rFonts w:ascii="Calibri" w:hAnsi="Calibri" w:cs="Calibri"/>
          <w:color w:val="000000"/>
          <w:sz w:val="24"/>
          <w:szCs w:val="24"/>
        </w:rPr>
        <w:t> Urządzenie musi posiadać znak CE oraz deklarację zgodności z właściwymi dyrektywami UE (Maszynową, EMC).</w:t>
      </w:r>
    </w:p>
    <w:p w14:paraId="319B55BF" w14:textId="521C97E3" w:rsidR="00C91C0B" w:rsidRPr="00C91C0B" w:rsidRDefault="00C91C0B" w:rsidP="00C91C0B">
      <w:pPr>
        <w:numPr>
          <w:ilvl w:val="0"/>
          <w:numId w:val="16"/>
        </w:numPr>
        <w:shd w:val="clear" w:color="auto" w:fill="FFFFFF"/>
        <w:ind w:left="1305"/>
        <w:contextualSpacing/>
        <w:rPr>
          <w:rFonts w:ascii="Calibri" w:hAnsi="Calibri" w:cs="Calibri"/>
          <w:color w:val="000000"/>
          <w:sz w:val="24"/>
          <w:szCs w:val="24"/>
        </w:rPr>
      </w:pPr>
      <w:r w:rsidRPr="00C91C0B">
        <w:rPr>
          <w:rFonts w:ascii="Calibri" w:hAnsi="Calibri" w:cs="Calibri"/>
          <w:b/>
          <w:bCs/>
          <w:color w:val="000000"/>
          <w:sz w:val="24"/>
          <w:szCs w:val="24"/>
        </w:rPr>
        <w:t>Gwarancja:</w:t>
      </w:r>
      <w:r w:rsidRPr="00C91C0B">
        <w:rPr>
          <w:rFonts w:ascii="Calibri" w:hAnsi="Calibri" w:cs="Calibri"/>
          <w:color w:val="000000"/>
          <w:sz w:val="24"/>
          <w:szCs w:val="24"/>
        </w:rPr>
        <w:t> Minimum 24 miesiące</w:t>
      </w:r>
      <w:r w:rsidR="00C05ABB">
        <w:rPr>
          <w:rFonts w:ascii="Calibri" w:hAnsi="Calibri" w:cs="Calibri"/>
          <w:color w:val="000000"/>
          <w:sz w:val="24"/>
          <w:szCs w:val="24"/>
        </w:rPr>
        <w:t xml:space="preserve"> w systemie door-to-door </w:t>
      </w:r>
    </w:p>
    <w:p w14:paraId="2F353D28" w14:textId="77777777" w:rsidR="00C91C0B" w:rsidRPr="00C91C0B" w:rsidRDefault="00C91C0B" w:rsidP="00C91C0B">
      <w:pPr>
        <w:contextualSpacing/>
        <w:jc w:val="both"/>
        <w:rPr>
          <w:rFonts w:ascii="Calibri" w:hAnsi="Calibri" w:cs="Calibri"/>
          <w:b/>
          <w:sz w:val="24"/>
          <w:szCs w:val="24"/>
          <w:u w:val="single"/>
        </w:rPr>
      </w:pPr>
    </w:p>
    <w:sectPr w:rsidR="00C91C0B" w:rsidRPr="00C91C0B" w:rsidSect="001F66F3">
      <w:headerReference w:type="default" r:id="rId7"/>
      <w:footerReference w:type="default" r:id="rId8"/>
      <w:headerReference w:type="first" r:id="rId9"/>
      <w:footerReference w:type="first" r:id="rId10"/>
      <w:pgSz w:w="11907" w:h="16840"/>
      <w:pgMar w:top="1077" w:right="1077" w:bottom="1077" w:left="1077" w:header="45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D6B72" w14:textId="77777777" w:rsidR="000A7C3F" w:rsidRDefault="000A7C3F">
      <w:r>
        <w:separator/>
      </w:r>
    </w:p>
  </w:endnote>
  <w:endnote w:type="continuationSeparator" w:id="0">
    <w:p w14:paraId="21F83FEE" w14:textId="77777777" w:rsidR="000A7C3F" w:rsidRDefault="000A7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FC217" w14:textId="77777777" w:rsidR="008F05FD" w:rsidRDefault="006D259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libri" w:eastAsia="Calibri" w:hAnsi="Calibri" w:cs="Calibri"/>
        <w:color w:val="000000"/>
        <w:sz w:val="24"/>
        <w:szCs w:val="24"/>
      </w:rPr>
    </w:pPr>
    <w:r>
      <w:rPr>
        <w:rFonts w:ascii="Calibri" w:eastAsia="Calibri" w:hAnsi="Calibri" w:cs="Calibri"/>
        <w:color w:val="000000"/>
        <w:sz w:val="24"/>
        <w:szCs w:val="24"/>
      </w:rPr>
      <w:t xml:space="preserve">Akcja – kwalifikacja </w:t>
    </w:r>
    <w:r w:rsidR="00942A10">
      <w:rPr>
        <w:rFonts w:ascii="Calibri" w:eastAsia="Calibri" w:hAnsi="Calibri" w:cs="Calibri"/>
        <w:color w:val="000000"/>
        <w:sz w:val="24"/>
        <w:szCs w:val="24"/>
      </w:rPr>
      <w:t>3</w:t>
    </w:r>
    <w:r>
      <w:rPr>
        <w:rFonts w:ascii="Calibri" w:eastAsia="Calibri" w:hAnsi="Calibri" w:cs="Calibri"/>
        <w:color w:val="000000"/>
        <w:sz w:val="24"/>
        <w:szCs w:val="24"/>
      </w:rPr>
      <w:t>.0 – projekty na rzecz szkół zawodowych na terenie Miasta Bydgoszczy</w:t>
    </w:r>
  </w:p>
  <w:p w14:paraId="51A59AA9" w14:textId="77777777" w:rsidR="008F05FD" w:rsidRDefault="008F05F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</w:p>
  <w:p w14:paraId="592B28F9" w14:textId="77777777" w:rsidR="008F05FD" w:rsidRDefault="009F296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 w:rsidR="006D2594">
      <w:rPr>
        <w:color w:val="000000"/>
      </w:rPr>
      <w:instrText>PAGE</w:instrText>
    </w:r>
    <w:r>
      <w:rPr>
        <w:color w:val="000000"/>
      </w:rPr>
      <w:fldChar w:fldCharType="separate"/>
    </w:r>
    <w:r w:rsidR="00EE2FD2">
      <w:rPr>
        <w:noProof/>
        <w:color w:val="000000"/>
      </w:rPr>
      <w:t>1</w:t>
    </w:r>
    <w:r>
      <w:rPr>
        <w:color w:val="00000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33FAD" w14:textId="77777777" w:rsidR="008F05FD" w:rsidRDefault="006D259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libri" w:eastAsia="Calibri" w:hAnsi="Calibri" w:cs="Calibri"/>
        <w:color w:val="000000"/>
        <w:sz w:val="24"/>
        <w:szCs w:val="24"/>
      </w:rPr>
    </w:pPr>
    <w:r>
      <w:rPr>
        <w:rFonts w:ascii="Calibri" w:eastAsia="Calibri" w:hAnsi="Calibri" w:cs="Calibri"/>
        <w:color w:val="000000"/>
        <w:sz w:val="24"/>
        <w:szCs w:val="24"/>
      </w:rPr>
      <w:t>Akcja – kwalifikacja 2.0 – projekty na rzecz szkół zawodowych na terenie Miasta Bydgoszczy</w:t>
    </w:r>
  </w:p>
  <w:p w14:paraId="460EA0D8" w14:textId="77777777" w:rsidR="008F05FD" w:rsidRDefault="008F05F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</w:p>
  <w:p w14:paraId="3A3D65DF" w14:textId="77777777" w:rsidR="008F05FD" w:rsidRDefault="009F296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 w:rsidR="006D2594">
      <w:rPr>
        <w:color w:val="000000"/>
      </w:rPr>
      <w:instrText>PAGE</w:instrText>
    </w:r>
    <w:r>
      <w:rPr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94CBA" w14:textId="77777777" w:rsidR="000A7C3F" w:rsidRDefault="000A7C3F">
      <w:r>
        <w:separator/>
      </w:r>
    </w:p>
  </w:footnote>
  <w:footnote w:type="continuationSeparator" w:id="0">
    <w:p w14:paraId="145E9C75" w14:textId="77777777" w:rsidR="000A7C3F" w:rsidRDefault="000A7C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7743D" w14:textId="77777777" w:rsidR="008F05FD" w:rsidRDefault="006D259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3210"/>
      </w:tabs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386F61D8" wp14:editId="240975FC">
          <wp:extent cx="5762625" cy="714375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2625" cy="7143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CF0FC" w14:textId="77777777" w:rsidR="008F05FD" w:rsidRDefault="006D259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1A000836" wp14:editId="0E47B3EC">
          <wp:extent cx="5762625" cy="71437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2625" cy="7143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D38A1"/>
    <w:multiLevelType w:val="multilevel"/>
    <w:tmpl w:val="6DE6903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5736E7"/>
    <w:multiLevelType w:val="multilevel"/>
    <w:tmpl w:val="E9CE4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A33FFA"/>
    <w:multiLevelType w:val="multilevel"/>
    <w:tmpl w:val="43707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CE07F80"/>
    <w:multiLevelType w:val="multilevel"/>
    <w:tmpl w:val="6CFC67E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0513A3"/>
    <w:multiLevelType w:val="multilevel"/>
    <w:tmpl w:val="15BABD2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6E55D16"/>
    <w:multiLevelType w:val="multilevel"/>
    <w:tmpl w:val="B728F65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B145AD"/>
    <w:multiLevelType w:val="hybridMultilevel"/>
    <w:tmpl w:val="64CC56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772292"/>
    <w:multiLevelType w:val="multilevel"/>
    <w:tmpl w:val="4904AB7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21651B"/>
    <w:multiLevelType w:val="hybridMultilevel"/>
    <w:tmpl w:val="056423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0F1B24"/>
    <w:multiLevelType w:val="hybridMultilevel"/>
    <w:tmpl w:val="BAFCDF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436C16"/>
    <w:multiLevelType w:val="multilevel"/>
    <w:tmpl w:val="03B477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BD77393"/>
    <w:multiLevelType w:val="hybridMultilevel"/>
    <w:tmpl w:val="2EA24A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121635"/>
    <w:multiLevelType w:val="multilevel"/>
    <w:tmpl w:val="BB2067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8651AE3"/>
    <w:multiLevelType w:val="hybridMultilevel"/>
    <w:tmpl w:val="66E871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30A5E"/>
    <w:multiLevelType w:val="hybridMultilevel"/>
    <w:tmpl w:val="EB0E0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8194571">
    <w:abstractNumId w:val="13"/>
  </w:num>
  <w:num w:numId="2" w16cid:durableId="394671659">
    <w:abstractNumId w:val="9"/>
  </w:num>
  <w:num w:numId="3" w16cid:durableId="602305690">
    <w:abstractNumId w:val="6"/>
  </w:num>
  <w:num w:numId="4" w16cid:durableId="754203222">
    <w:abstractNumId w:val="8"/>
  </w:num>
  <w:num w:numId="5" w16cid:durableId="896355432">
    <w:abstractNumId w:val="14"/>
  </w:num>
  <w:num w:numId="6" w16cid:durableId="99877793">
    <w:abstractNumId w:val="11"/>
  </w:num>
  <w:num w:numId="7" w16cid:durableId="885025950">
    <w:abstractNumId w:val="3"/>
  </w:num>
  <w:num w:numId="8" w16cid:durableId="708602441">
    <w:abstractNumId w:val="2"/>
  </w:num>
  <w:num w:numId="9" w16cid:durableId="89786267">
    <w:abstractNumId w:val="4"/>
  </w:num>
  <w:num w:numId="10" w16cid:durableId="707029209">
    <w:abstractNumId w:val="1"/>
  </w:num>
  <w:num w:numId="11" w16cid:durableId="345058416">
    <w:abstractNumId w:val="5"/>
  </w:num>
  <w:num w:numId="12" w16cid:durableId="1052653551">
    <w:abstractNumId w:val="12"/>
  </w:num>
  <w:num w:numId="13" w16cid:durableId="178349497">
    <w:abstractNumId w:val="7"/>
  </w:num>
  <w:num w:numId="14" w16cid:durableId="382100778">
    <w:abstractNumId w:val="0"/>
  </w:num>
  <w:num w:numId="15" w16cid:durableId="2030717169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</w:num>
  <w:num w:numId="16" w16cid:durableId="172198167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05FD"/>
    <w:rsid w:val="0009069E"/>
    <w:rsid w:val="0009562A"/>
    <w:rsid w:val="000A7C3F"/>
    <w:rsid w:val="000F2267"/>
    <w:rsid w:val="001501A5"/>
    <w:rsid w:val="0019103F"/>
    <w:rsid w:val="001B44B0"/>
    <w:rsid w:val="001F66F3"/>
    <w:rsid w:val="003A4D6E"/>
    <w:rsid w:val="003B4C7A"/>
    <w:rsid w:val="003D72DC"/>
    <w:rsid w:val="006875EF"/>
    <w:rsid w:val="006D2594"/>
    <w:rsid w:val="008F05FD"/>
    <w:rsid w:val="00942A10"/>
    <w:rsid w:val="009C603E"/>
    <w:rsid w:val="009F296D"/>
    <w:rsid w:val="00A54E91"/>
    <w:rsid w:val="00AB66AD"/>
    <w:rsid w:val="00AE0D9A"/>
    <w:rsid w:val="00B26ED8"/>
    <w:rsid w:val="00B95337"/>
    <w:rsid w:val="00BD640E"/>
    <w:rsid w:val="00C05ABB"/>
    <w:rsid w:val="00C85790"/>
    <w:rsid w:val="00C91C0B"/>
    <w:rsid w:val="00E163B3"/>
    <w:rsid w:val="00EE2FD2"/>
    <w:rsid w:val="00F47BF0"/>
    <w:rsid w:val="00FA3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76F84"/>
  <w15:docId w15:val="{B5030492-12BE-4804-9858-62664ED07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66F3"/>
  </w:style>
  <w:style w:type="paragraph" w:styleId="Nagwek1">
    <w:name w:val="heading 1"/>
    <w:basedOn w:val="Normalny"/>
    <w:next w:val="Normalny"/>
    <w:uiPriority w:val="9"/>
    <w:qFormat/>
    <w:rsid w:val="001F66F3"/>
    <w:pPr>
      <w:keepNext/>
      <w:jc w:val="center"/>
      <w:outlineLvl w:val="0"/>
    </w:pPr>
    <w:rPr>
      <w:b/>
      <w:sz w:val="22"/>
      <w:szCs w:val="22"/>
    </w:rPr>
  </w:style>
  <w:style w:type="paragraph" w:styleId="Nagwek2">
    <w:name w:val="heading 2"/>
    <w:basedOn w:val="Normalny"/>
    <w:next w:val="Normalny"/>
    <w:uiPriority w:val="9"/>
    <w:semiHidden/>
    <w:unhideWhenUsed/>
    <w:qFormat/>
    <w:rsid w:val="001F66F3"/>
    <w:pPr>
      <w:keepNext/>
      <w:jc w:val="right"/>
      <w:outlineLvl w:val="1"/>
    </w:pPr>
    <w:rPr>
      <w:b/>
      <w:sz w:val="24"/>
      <w:szCs w:val="24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001F66F3"/>
    <w:pPr>
      <w:keepNext/>
      <w:keepLines/>
      <w:spacing w:before="40"/>
      <w:outlineLvl w:val="2"/>
    </w:pPr>
    <w:rPr>
      <w:rFonts w:ascii="Cambria" w:eastAsia="Cambria" w:hAnsi="Cambria" w:cs="Cambria"/>
      <w:color w:val="243F60"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rsid w:val="001F66F3"/>
    <w:pPr>
      <w:keepNext/>
      <w:spacing w:before="240" w:after="60"/>
      <w:outlineLvl w:val="3"/>
    </w:pPr>
    <w:rPr>
      <w:b/>
      <w:sz w:val="28"/>
      <w:szCs w:val="28"/>
    </w:rPr>
  </w:style>
  <w:style w:type="paragraph" w:styleId="Nagwek5">
    <w:name w:val="heading 5"/>
    <w:basedOn w:val="Normalny"/>
    <w:next w:val="Normalny"/>
    <w:uiPriority w:val="9"/>
    <w:semiHidden/>
    <w:unhideWhenUsed/>
    <w:qFormat/>
    <w:rsid w:val="001F66F3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rsid w:val="001F66F3"/>
    <w:pPr>
      <w:keepNext/>
      <w:keepLines/>
      <w:spacing w:before="200" w:after="40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rsid w:val="001F66F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rsid w:val="001F66F3"/>
    <w:pPr>
      <w:jc w:val="center"/>
    </w:pPr>
    <w:rPr>
      <w:b/>
      <w:sz w:val="32"/>
      <w:szCs w:val="32"/>
    </w:rPr>
  </w:style>
  <w:style w:type="paragraph" w:styleId="Podtytu">
    <w:name w:val="Subtitle"/>
    <w:basedOn w:val="Normalny"/>
    <w:next w:val="Normalny"/>
    <w:uiPriority w:val="11"/>
    <w:qFormat/>
    <w:rsid w:val="001F66F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F66F3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kapitzlist">
    <w:name w:val="List Paragraph"/>
    <w:basedOn w:val="Normalny"/>
    <w:uiPriority w:val="34"/>
    <w:qFormat/>
    <w:rsid w:val="00A54E9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Pogrubienie">
    <w:name w:val="Strong"/>
    <w:basedOn w:val="Domylnaczcionkaakapitu"/>
    <w:uiPriority w:val="22"/>
    <w:qFormat/>
    <w:rsid w:val="0009562A"/>
    <w:rPr>
      <w:b/>
      <w:bCs/>
    </w:rPr>
  </w:style>
  <w:style w:type="paragraph" w:styleId="Bezodstpw">
    <w:name w:val="No Spacing"/>
    <w:uiPriority w:val="1"/>
    <w:qFormat/>
    <w:rsid w:val="0009562A"/>
  </w:style>
  <w:style w:type="paragraph" w:styleId="Nagwek">
    <w:name w:val="header"/>
    <w:basedOn w:val="Normalny"/>
    <w:link w:val="NagwekZnak"/>
    <w:uiPriority w:val="99"/>
    <w:unhideWhenUsed/>
    <w:rsid w:val="00942A1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2A10"/>
  </w:style>
  <w:style w:type="paragraph" w:styleId="Stopka">
    <w:name w:val="footer"/>
    <w:basedOn w:val="Normalny"/>
    <w:link w:val="StopkaZnak"/>
    <w:uiPriority w:val="99"/>
    <w:unhideWhenUsed/>
    <w:rsid w:val="00942A1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42A10"/>
  </w:style>
  <w:style w:type="paragraph" w:styleId="Tekstdymka">
    <w:name w:val="Balloon Text"/>
    <w:basedOn w:val="Normalny"/>
    <w:link w:val="TekstdymkaZnak"/>
    <w:uiPriority w:val="99"/>
    <w:semiHidden/>
    <w:unhideWhenUsed/>
    <w:rsid w:val="003B4C7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4C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761</Words>
  <Characters>4569</Characters>
  <Application>Microsoft Office Word</Application>
  <DocSecurity>0</DocSecurity>
  <Lines>38</Lines>
  <Paragraphs>10</Paragraphs>
  <ScaleCrop>false</ScaleCrop>
  <Company/>
  <LinksUpToDate>false</LinksUpToDate>
  <CharactersWithSpaces>5320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J. S.</cp:lastModifiedBy>
  <cp:revision>13</cp:revision>
  <dcterms:created xsi:type="dcterms:W3CDTF">2024-04-15T06:54:00Z</dcterms:created>
  <dcterms:modified xsi:type="dcterms:W3CDTF">2026-02-11T16:20:00Z</dcterms:modified>
</cp:coreProperties>
</file>