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541DC" w14:textId="77777777" w:rsidR="00500DA9" w:rsidRPr="00ED3EFF" w:rsidRDefault="00500DA9" w:rsidP="00750865">
      <w:pPr>
        <w:suppressAutoHyphens/>
        <w:spacing w:after="0" w:line="240" w:lineRule="auto"/>
        <w:rPr>
          <w:rFonts w:ascii="Calibri" w:eastAsia="Times New Roman" w:hAnsi="Calibri" w:cs="Calibri"/>
          <w:b/>
          <w:bCs/>
          <w:kern w:val="22"/>
          <w:sz w:val="22"/>
          <w:szCs w:val="22"/>
          <w:lang w:eastAsia="en-US"/>
        </w:rPr>
      </w:pPr>
    </w:p>
    <w:p w14:paraId="499178E8" w14:textId="26912DCD" w:rsidR="00D42A49" w:rsidRDefault="00D42A49" w:rsidP="00750865">
      <w:pPr>
        <w:suppressAutoHyphens/>
        <w:spacing w:after="0" w:line="240" w:lineRule="auto"/>
        <w:jc w:val="right"/>
        <w:rPr>
          <w:rFonts w:ascii="Calibri" w:eastAsia="Times New Roman" w:hAnsi="Calibri" w:cs="Calibri"/>
          <w:b/>
          <w:bCs/>
          <w:kern w:val="22"/>
          <w:sz w:val="22"/>
          <w:szCs w:val="22"/>
          <w:lang w:eastAsia="en-US"/>
        </w:rPr>
      </w:pPr>
      <w:r w:rsidRPr="00ED3EFF">
        <w:rPr>
          <w:rFonts w:ascii="Calibri" w:eastAsia="Times New Roman" w:hAnsi="Calibri" w:cs="Calibri"/>
          <w:b/>
          <w:bCs/>
          <w:kern w:val="22"/>
          <w:sz w:val="22"/>
          <w:szCs w:val="22"/>
          <w:lang w:eastAsia="en-US"/>
        </w:rPr>
        <w:t>Załącznik nr 1</w:t>
      </w:r>
    </w:p>
    <w:p w14:paraId="6CD84434" w14:textId="77777777" w:rsidR="00D42A49" w:rsidRPr="00ED3EFF" w:rsidRDefault="00D42A49" w:rsidP="00750865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22"/>
          <w:sz w:val="22"/>
          <w:szCs w:val="22"/>
          <w:lang w:eastAsia="en-US"/>
        </w:rPr>
      </w:pPr>
    </w:p>
    <w:p w14:paraId="1EE5DCF9" w14:textId="4CFE2765" w:rsidR="00500DA9" w:rsidRPr="00ED3EFF" w:rsidRDefault="00500DA9" w:rsidP="00ED3EFF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2"/>
          <w:szCs w:val="22"/>
        </w:rPr>
      </w:pPr>
    </w:p>
    <w:tbl>
      <w:tblPr>
        <w:tblW w:w="4760" w:type="pct"/>
        <w:tblInd w:w="2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61"/>
      </w:tblGrid>
      <w:tr w:rsidR="004E62B0" w:rsidRPr="00ED3EFF" w14:paraId="4D544B9B" w14:textId="77777777" w:rsidTr="004E62B0">
        <w:trPr>
          <w:trHeight w:val="1194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B7DF8D3" w14:textId="77777777" w:rsidR="004E62B0" w:rsidRPr="004E62B0" w:rsidRDefault="004E62B0" w:rsidP="0075086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textAlignment w:val="baseline"/>
              <w:rPr>
                <w:rFonts w:ascii="Roboto" w:eastAsia="Times New Roman" w:hAnsi="Roboto" w:cs="Calibri"/>
                <w:b/>
                <w:bCs/>
                <w:sz w:val="20"/>
                <w:szCs w:val="20"/>
              </w:rPr>
            </w:pPr>
            <w:r w:rsidRPr="004E62B0">
              <w:rPr>
                <w:rFonts w:ascii="Roboto" w:eastAsia="Times New Roman" w:hAnsi="Roboto" w:cs="Calibri"/>
                <w:b/>
                <w:bCs/>
                <w:sz w:val="20"/>
                <w:szCs w:val="20"/>
              </w:rPr>
              <w:t xml:space="preserve">Opis przedmiot zamówienia </w:t>
            </w:r>
          </w:p>
          <w:p w14:paraId="4415B6F6" w14:textId="77777777" w:rsidR="004E62B0" w:rsidRDefault="004E62B0" w:rsidP="0075086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textAlignment w:val="baseline"/>
              <w:rPr>
                <w:rFonts w:ascii="Roboto" w:hAnsi="Roboto" w:cs="Calibri"/>
                <w:b/>
                <w:bCs/>
                <w:color w:val="000000" w:themeColor="text1"/>
                <w:sz w:val="20"/>
                <w:szCs w:val="20"/>
              </w:rPr>
            </w:pPr>
            <w:r w:rsidRPr="004E62B0">
              <w:rPr>
                <w:rFonts w:ascii="Roboto" w:hAnsi="Roboto" w:cs="Calibri"/>
                <w:b/>
                <w:sz w:val="20"/>
                <w:szCs w:val="20"/>
              </w:rPr>
              <w:t>Zakup oprogramowania do komputerowej analizy ruchu plemników wraz z mikroskopem</w:t>
            </w:r>
            <w:r w:rsidRPr="004E62B0">
              <w:rPr>
                <w:rFonts w:ascii="Roboto" w:hAnsi="Roboto" w:cs="Calibri"/>
                <w:b/>
                <w:bCs/>
                <w:color w:val="000000" w:themeColor="text1"/>
                <w:sz w:val="20"/>
                <w:szCs w:val="20"/>
              </w:rPr>
              <w:t xml:space="preserve"> (CASA)</w:t>
            </w:r>
          </w:p>
          <w:p w14:paraId="5D8927B7" w14:textId="01E8B4ED" w:rsidR="00867EF7" w:rsidRPr="00ED3EFF" w:rsidRDefault="00867EF7" w:rsidP="0075086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Roboto" w:eastAsia="Times New Roman" w:hAnsi="Roboto" w:cs="Calibri"/>
                <w:b/>
                <w:bCs/>
                <w:color w:val="000000" w:themeColor="text1"/>
                <w:sz w:val="20"/>
                <w:szCs w:val="20"/>
              </w:rPr>
              <w:t>Minimalne parametry</w:t>
            </w:r>
          </w:p>
        </w:tc>
      </w:tr>
      <w:tr w:rsidR="004E62B0" w:rsidRPr="00ED3EFF" w14:paraId="623F74F8" w14:textId="77777777" w:rsidTr="004E62B0">
        <w:trPr>
          <w:trHeight w:val="223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E9588" w14:textId="68D8857A" w:rsidR="004E62B0" w:rsidRPr="00DD2ED0" w:rsidRDefault="004E62B0" w:rsidP="00DD2ED0">
            <w:pPr>
              <w:pStyle w:val="Akapitzlist"/>
              <w:numPr>
                <w:ilvl w:val="0"/>
                <w:numId w:val="2"/>
              </w:numPr>
              <w:ind w:left="339" w:hanging="284"/>
              <w:jc w:val="both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b/>
                <w:bCs/>
                <w:color w:val="000000" w:themeColor="text1"/>
                <w:sz w:val="18"/>
                <w:szCs w:val="18"/>
              </w:rPr>
              <w:t xml:space="preserve">Analizator nasienia – CASA </w:t>
            </w: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do rutynowej analizy nasienia</w:t>
            </w:r>
            <w:r w:rsidRPr="00DD2ED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zwierząt (do analizy koncentracji, ruchu plemników i morfologii)</w:t>
            </w:r>
          </w:p>
          <w:p w14:paraId="07DB4672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b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b/>
                <w:color w:val="000000"/>
                <w:sz w:val="18"/>
                <w:szCs w:val="18"/>
              </w:rPr>
              <w:t>Wymagane funkcje:</w:t>
            </w:r>
          </w:p>
          <w:p w14:paraId="022A3432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369" w:hanging="284"/>
              <w:contextualSpacing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System komputerowej analizy nasienia (CASA) musi umożliwiać ocenę jakości nasienia u zwierząt (ssaki, gady, płazy, ryby i bezkręgowce):</w:t>
            </w:r>
          </w:p>
          <w:p w14:paraId="28211F28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Polska wersja językowa</w:t>
            </w:r>
          </w:p>
          <w:p w14:paraId="19B515D5" w14:textId="77777777" w:rsidR="004E62B0" w:rsidRPr="004E62B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4E62B0">
              <w:rPr>
                <w:rFonts w:ascii="Calibri" w:hAnsi="Calibri" w:cs="Calibri"/>
                <w:color w:val="000000"/>
                <w:sz w:val="18"/>
                <w:szCs w:val="18"/>
              </w:rPr>
              <w:t>Interfejs graficzny, okienkowy</w:t>
            </w:r>
          </w:p>
          <w:p w14:paraId="53133DC1" w14:textId="77777777" w:rsidR="004E62B0" w:rsidRPr="004E62B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4E62B0">
              <w:rPr>
                <w:rFonts w:ascii="Calibri" w:hAnsi="Calibri" w:cs="Calibri"/>
                <w:color w:val="000000"/>
                <w:sz w:val="18"/>
                <w:szCs w:val="18"/>
              </w:rPr>
              <w:t>Licencja na czas nieokreślony</w:t>
            </w:r>
          </w:p>
          <w:p w14:paraId="243509DB" w14:textId="77777777" w:rsidR="004E62B0" w:rsidRPr="004E62B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4E62B0">
              <w:rPr>
                <w:rFonts w:ascii="Calibri" w:hAnsi="Calibri" w:cs="Calibri"/>
                <w:color w:val="000000"/>
                <w:sz w:val="18"/>
                <w:szCs w:val="18"/>
              </w:rPr>
              <w:t>System wyposażony w moduły do automatycznego pomiaru i analizy ruchliwości, koncentracji i parametrów kinetycznych nasienia zwierzęcego, morfologii i morfometrii wybarwionych preparatów.</w:t>
            </w:r>
          </w:p>
          <w:p w14:paraId="21C7C9E3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rozbudowy systemu o moduł do oceny fragmentacji DNA plemników oraz żywotności, reakcji akrosomalnej.</w:t>
            </w:r>
          </w:p>
          <w:p w14:paraId="0898CD34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System wyposażony w liczydło do manualnego zliczania różnego typu komórek</w:t>
            </w:r>
          </w:p>
          <w:p w14:paraId="6904FF28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pobierania obrazu do 200 klatek na sekundę o rozdzielczości 1024x1024 pikseli.</w:t>
            </w:r>
          </w:p>
          <w:p w14:paraId="7FBD955E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usunięcia dowolnego pola analizy.</w:t>
            </w:r>
          </w:p>
          <w:p w14:paraId="2718304F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Obliczanie podstawowych parametrów: </w:t>
            </w:r>
          </w:p>
          <w:p w14:paraId="66021599" w14:textId="3FE6D272" w:rsidR="004E62B0" w:rsidRPr="00DD2ED0" w:rsidRDefault="004E62B0" w:rsidP="00DD2ED0">
            <w:pPr>
              <w:pStyle w:val="Akapitzlist"/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</w:t>
            </w: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- Stężenie próbki (M/ml i ejakulat całkowity). </w:t>
            </w:r>
          </w:p>
          <w:p w14:paraId="790372AF" w14:textId="1E22F063" w:rsidR="004E62B0" w:rsidRPr="00DD2ED0" w:rsidRDefault="004E62B0" w:rsidP="00DD2ED0">
            <w:pPr>
              <w:pStyle w:val="Akapitzlist"/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</w:t>
            </w: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- Liczba i odsetek ruchliwości plemników w badanej próbie sklasyfikowanych w różnych typach ruchu.</w:t>
            </w:r>
          </w:p>
          <w:p w14:paraId="14539731" w14:textId="47817BC3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Obliczanie parametrów zaawansowanych:</w:t>
            </w:r>
          </w:p>
          <w:p w14:paraId="65DBF0C4" w14:textId="521C86E6" w:rsidR="004E62B0" w:rsidRPr="00DD2ED0" w:rsidRDefault="004E62B0" w:rsidP="00DD2ED0">
            <w:pPr>
              <w:pStyle w:val="Akapitzlist"/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</w:t>
            </w: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- stężenie (M/ml i ejakulat całkowity) z rozdzieleniem na typ ruchu.</w:t>
            </w:r>
          </w:p>
          <w:p w14:paraId="41B0715C" w14:textId="5C6F14C3" w:rsidR="004E62B0" w:rsidRPr="00DD2ED0" w:rsidRDefault="004E62B0" w:rsidP="00DD2ED0">
            <w:pPr>
              <w:pStyle w:val="Akapitzlist"/>
              <w:ind w:left="369" w:hanging="284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</w:t>
            </w: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- średnia powierzchnia główki w zależności od typu prędkości</w:t>
            </w:r>
          </w:p>
          <w:p w14:paraId="28F9AE51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369" w:hanging="284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Szczegółowe wartości parametrów w module ruchliwości mierzonych w systemie:</w:t>
            </w:r>
          </w:p>
          <w:p w14:paraId="0DA10F61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Koncentracja ejakulatu</w:t>
            </w:r>
          </w:p>
          <w:p w14:paraId="76D7A752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Wskaźnik oscylacji</w:t>
            </w:r>
          </w:p>
          <w:p w14:paraId="4A3ADFA3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Wskaźnik liniowości</w:t>
            </w:r>
          </w:p>
          <w:p w14:paraId="4FA24AF4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Prędkość ruchu prostolinijnego</w:t>
            </w:r>
          </w:p>
          <w:p w14:paraId="20224B35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Prędkość ruchu krzywolinijnego</w:t>
            </w:r>
          </w:p>
          <w:p w14:paraId="5EABFE8D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Średnia amplituda bocznych odchyleń główki</w:t>
            </w:r>
          </w:p>
          <w:p w14:paraId="07516050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Wskaźnik prostoliniowości</w:t>
            </w:r>
          </w:p>
          <w:p w14:paraId="57E87E8E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4"/>
              </w:numPr>
              <w:suppressAutoHyphens w:val="0"/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Średnia prędkość plemnika</w:t>
            </w:r>
          </w:p>
          <w:p w14:paraId="0D4BEED9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Możliwość wprowadzania nowych definicji do danych</w:t>
            </w:r>
          </w:p>
          <w:p w14:paraId="3516A578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wizualizacji trajektorii plemników dla wszystkich pól.</w:t>
            </w:r>
          </w:p>
          <w:p w14:paraId="40D6ADA2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Wizualizacja indywidualnych cech ruchliwości każdego plemnika z opcją tworzenia raportu</w:t>
            </w:r>
          </w:p>
          <w:p w14:paraId="06CFECCF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Dodawanie lub usuwanie trajektorii ruchu plemników.</w:t>
            </w:r>
          </w:p>
          <w:p w14:paraId="71BC6337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zapisywania sesji do późniejszej analizy</w:t>
            </w:r>
          </w:p>
          <w:p w14:paraId="633720A7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Eksport obrazów i filmów</w:t>
            </w:r>
          </w:p>
          <w:p w14:paraId="54EC8141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tworzenia wielu rodzajów raportów z obrazami i grafiką i możliwością raportu do Word, PDF, Excel, XML, TXT.</w:t>
            </w:r>
          </w:p>
          <w:p w14:paraId="10278B9C" w14:textId="77777777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wygenerowania raportu spersonalizowanego dostosowanego do potrzeb klienta</w:t>
            </w:r>
          </w:p>
          <w:p w14:paraId="58238FDA" w14:textId="2C7C55DB" w:rsidR="004E62B0" w:rsidRPr="00DD2ED0" w:rsidRDefault="004E62B0" w:rsidP="00DD2ED0">
            <w:pPr>
              <w:pStyle w:val="Akapitzlist"/>
              <w:numPr>
                <w:ilvl w:val="0"/>
                <w:numId w:val="5"/>
              </w:numPr>
              <w:ind w:left="511" w:hanging="426"/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wygenerowania raportu Ex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el ze wszystkimi szczegółowymi danymi każdego plemnika</w:t>
            </w:r>
          </w:p>
          <w:p w14:paraId="6752702A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Dołączanie indywidualnej matrycy kryteriów</w:t>
            </w:r>
          </w:p>
          <w:p w14:paraId="60A5F085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wykonywania darmowych zdalnych połączeń z pomocą techniczną producenta w okresie 24 miesięcy z możliwością przedłużenia</w:t>
            </w:r>
          </w:p>
          <w:p w14:paraId="5909026B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pobierania darmowych aktualizacji systemu w okresie 24 miesięcy z możliwością przedłużenia</w:t>
            </w:r>
          </w:p>
          <w:p w14:paraId="49AEB67C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System dostosowany do budowy sieci z jednostkami do pobierania obrazu do dalszej analizy w jednostce głównej CASA</w:t>
            </w:r>
          </w:p>
          <w:p w14:paraId="4E9B974D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Wpisywanie danych makroskopowych/ mikroskopowych dotyczących ejakulatu tj: (pH, upłynnienie, ilość bakterii, sposób pobrania ejakulatu, agregacje, aglutynacje, oraz inne wprowadzone samodzielnie przez użytkownika)</w:t>
            </w:r>
          </w:p>
          <w:p w14:paraId="42084029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wykonywania wewnętrznej kontroli jakości badania nasienia w laboratorium</w:t>
            </w:r>
          </w:p>
          <w:p w14:paraId="519240E8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Analiza ruchliwości wykonywana przy powiększeniu 10x kontraście fazowym ujemnym </w:t>
            </w:r>
          </w:p>
          <w:p w14:paraId="72D0E037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Wykorzystanie różnych komór do analizy ruchliwości i koncentracji nasienia (np. GoldCyto, Makler, Leja, Neubauer, szkiełko podstawowe z nakrywkowym)</w:t>
            </w:r>
          </w:p>
          <w:p w14:paraId="52369950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Automatyczne lub manualne wychwytywanie komórek</w:t>
            </w:r>
          </w:p>
          <w:p w14:paraId="13A46B4E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Zdjęcia o wysokiej rozdzielczości (1280x1024px)</w:t>
            </w:r>
          </w:p>
          <w:p w14:paraId="25B54FA0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Automatyczne wykrywanie akrosomu, obszarów poza akrosomem oraz wstawki</w:t>
            </w:r>
          </w:p>
          <w:p w14:paraId="37BC811F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stosowania różnych barwników do badania morfologii nasienia</w:t>
            </w:r>
          </w:p>
          <w:p w14:paraId="55B24D7D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4E4EEC">
              <w:rPr>
                <w:rFonts w:ascii="Calibri" w:hAnsi="Calibri" w:cs="Calibri"/>
                <w:color w:val="000000"/>
                <w:sz w:val="18"/>
                <w:szCs w:val="18"/>
              </w:rPr>
              <w:t>Analiza morfologii</w:t>
            </w: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plemników pod powiększeniem 60x lub 40x</w:t>
            </w:r>
          </w:p>
          <w:p w14:paraId="34539C56" w14:textId="400D9A41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Pomiar parametrów morfologicznych:</w:t>
            </w:r>
          </w:p>
          <w:p w14:paraId="06A1669D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6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 xml:space="preserve">główka plemnika: rozmiar (długość, szerokość, powierzchnia, obwód), kształt. </w:t>
            </w:r>
          </w:p>
          <w:p w14:paraId="78EA4091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Automatyczne lub manualne wychwytywanie komórek</w:t>
            </w:r>
          </w:p>
          <w:p w14:paraId="4DBBE8F8" w14:textId="77777777" w:rsidR="004E62B0" w:rsidRDefault="004E62B0" w:rsidP="00DD2ED0">
            <w:pPr>
              <w:pStyle w:val="Akapitzlist"/>
              <w:widowControl/>
              <w:numPr>
                <w:ilvl w:val="0"/>
                <w:numId w:val="5"/>
              </w:numPr>
              <w:suppressAutoHyphens w:val="0"/>
              <w:autoSpaceDN/>
              <w:ind w:left="511" w:hanging="426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/>
                <w:sz w:val="18"/>
                <w:szCs w:val="18"/>
              </w:rPr>
              <w:t>Możliwość łatwego eksportu danych do analiz statystycznych zarówno pojedynczych plemników jak i badanych zwierząt</w:t>
            </w:r>
          </w:p>
          <w:p w14:paraId="0BB31339" w14:textId="77777777" w:rsidR="004E62B0" w:rsidRPr="00DD2ED0" w:rsidRDefault="004E62B0" w:rsidP="00F410C7">
            <w:pPr>
              <w:pStyle w:val="Akapitzlist"/>
              <w:widowControl/>
              <w:suppressAutoHyphens w:val="0"/>
              <w:autoSpaceDN/>
              <w:ind w:left="511"/>
              <w:contextualSpacing/>
              <w:jc w:val="both"/>
              <w:textAlignment w:val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  <w:p w14:paraId="3CE55A52" w14:textId="77777777" w:rsidR="004E62B0" w:rsidRPr="00DD2ED0" w:rsidRDefault="004E62B0" w:rsidP="00DD2ED0">
            <w:pPr>
              <w:pStyle w:val="Akapitzlist"/>
              <w:ind w:left="0"/>
              <w:jc w:val="both"/>
              <w:rPr>
                <w:rFonts w:ascii="Calibri" w:hAnsi="Calibri" w:cs="Calibri"/>
                <w:b/>
                <w:color w:val="000000"/>
                <w:sz w:val="18"/>
                <w:szCs w:val="18"/>
              </w:rPr>
            </w:pPr>
          </w:p>
          <w:p w14:paraId="760D0988" w14:textId="589DF39B" w:rsidR="004E62B0" w:rsidRPr="00DD2ED0" w:rsidRDefault="004E62B0" w:rsidP="00DD2ED0">
            <w:pPr>
              <w:widowControl w:val="0"/>
              <w:spacing w:after="0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b/>
                <w:bCs/>
                <w:color w:val="000000" w:themeColor="text1"/>
                <w:sz w:val="18"/>
                <w:szCs w:val="18"/>
              </w:rPr>
              <w:t xml:space="preserve">II. Stacja sterująca z monitorem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– komputer przenośny z zainstalowanym systemem operacyjnym Windows 11 Pro (64-bit). </w:t>
            </w:r>
          </w:p>
          <w:p w14:paraId="6D339632" w14:textId="07AA95A0" w:rsidR="004E62B0" w:rsidRPr="00DD2ED0" w:rsidRDefault="004E62B0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Urządzenie wyposażone w procesor Intel® Core™ Ultra 5 125U (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o parametrach nie mniejszych niż: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12 MB pamięci podręcznej</w:t>
            </w:r>
            <w:r w:rsidR="008858B1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)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, </w:t>
            </w:r>
          </w:p>
          <w:p w14:paraId="6F15FCAA" w14:textId="77777777" w:rsidR="004E62B0" w:rsidRPr="00DD2ED0" w:rsidRDefault="004E62B0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12 rdzeni, taktowanie do 4,30 GHz, TDP 15 W), </w:t>
            </w:r>
          </w:p>
          <w:p w14:paraId="398AF361" w14:textId="0C143917" w:rsidR="004E62B0" w:rsidRPr="00DD2ED0" w:rsidRDefault="009C59C1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Co najmni</w:t>
            </w:r>
            <w:r w:rsidR="00953795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j</w:t>
            </w:r>
            <w:r w:rsidR="00867EF7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e</w:t>
            </w:r>
            <w:r w:rsidR="00953795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16 gb </w:t>
            </w:r>
            <w:r w:rsidR="004E62B0"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GB pamięci RAM DDR5 5600 MHz (2 × 8 GB, SoDIMM, bez ECC) </w:t>
            </w:r>
          </w:p>
          <w:p w14:paraId="22A7A030" w14:textId="51E15359" w:rsidR="004E62B0" w:rsidRPr="00DD2ED0" w:rsidRDefault="004E62B0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dysk SSD PCIe NVMe 2230 o pojemności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nie mniejszej niż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512 GB. </w:t>
            </w:r>
          </w:p>
          <w:p w14:paraId="13B92403" w14:textId="09779006" w:rsidR="004E62B0" w:rsidRPr="00DD2ED0" w:rsidRDefault="003934B3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Co najmniej </w:t>
            </w:r>
            <w:r w:rsidR="004E62B0"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14-calowy, wyświetlacz LED FHD o rozdzielczośc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nie</w:t>
            </w:r>
            <w:r w:rsidR="00867EF7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mnie</w:t>
            </w:r>
            <w:r w:rsidR="00867EF7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j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szej niż </w:t>
            </w:r>
            <w:r w:rsidR="004E62B0"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1920 × 1080, częstotliwości odświeżania </w:t>
            </w:r>
            <w:r w:rsidR="00617A96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nie</w:t>
            </w:r>
            <w:r w:rsidR="00867EF7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="00617A96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mniejsza </w:t>
            </w:r>
            <w:r w:rsidR="004E62B0"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60 Hz,. Zintegrowana karta graficzna.</w:t>
            </w:r>
          </w:p>
          <w:p w14:paraId="40A74102" w14:textId="4ADCF977" w:rsidR="004E62B0" w:rsidRPr="00DD2ED0" w:rsidRDefault="004E62B0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Monitor LED IPS 23.8" Full HD 1920x1080, częstotliwość odświeżania 100 Hz, regulacja wysokości, z wbudowanymi głośnikami.</w:t>
            </w:r>
          </w:p>
          <w:p w14:paraId="6C5899F1" w14:textId="1A5B286B" w:rsidR="004E62B0" w:rsidRPr="004A1EB3" w:rsidRDefault="004E62B0" w:rsidP="00DD2ED0">
            <w:pPr>
              <w:pStyle w:val="Akapitzlist"/>
              <w:numPr>
                <w:ilvl w:val="0"/>
                <w:numId w:val="3"/>
              </w:numPr>
              <w:ind w:left="511" w:hanging="426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Pr="004A1EB3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 xml:space="preserve">Gwarancja min. </w:t>
            </w:r>
            <w:r w:rsidR="003934B3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3</w:t>
            </w:r>
            <w:r w:rsidRPr="004A1EB3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 xml:space="preserve"> lata</w:t>
            </w:r>
          </w:p>
          <w:p w14:paraId="1E16AFAF" w14:textId="77777777" w:rsidR="004E62B0" w:rsidRPr="00DD2ED0" w:rsidRDefault="004E62B0" w:rsidP="00DD2ED0">
            <w:pPr>
              <w:pStyle w:val="Akapitzlist"/>
              <w:spacing w:line="256" w:lineRule="auto"/>
              <w:ind w:left="1440"/>
              <w:contextualSpacing/>
              <w:rPr>
                <w:rFonts w:ascii="Calibri" w:hAnsi="Calibri" w:cs="Calibri"/>
                <w:b/>
                <w:sz w:val="18"/>
                <w:szCs w:val="18"/>
              </w:rPr>
            </w:pPr>
          </w:p>
          <w:p w14:paraId="675E8D3C" w14:textId="4B3D43BD" w:rsidR="004E62B0" w:rsidRPr="00DD2ED0" w:rsidRDefault="004E62B0" w:rsidP="00DD2ED0">
            <w:pPr>
              <w:pStyle w:val="Akapitzlist"/>
              <w:numPr>
                <w:ilvl w:val="0"/>
                <w:numId w:val="8"/>
              </w:numPr>
              <w:spacing w:line="256" w:lineRule="auto"/>
              <w:ind w:left="511" w:hanging="426"/>
              <w:contextualSpacing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D2ED0">
              <w:rPr>
                <w:rFonts w:ascii="Calibri" w:hAnsi="Calibri" w:cs="Calibri"/>
                <w:b/>
                <w:bCs/>
                <w:sz w:val="18"/>
                <w:szCs w:val="18"/>
              </w:rPr>
              <w:t>Kamera cyfrowa, kolorowa</w:t>
            </w:r>
          </w:p>
          <w:p w14:paraId="315D2DA2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Kamera przeznaczona do mikroskopu kontrasowo- fazowego, skonfigurowanego do pracy z analizatorem CASA</w:t>
            </w:r>
          </w:p>
          <w:p w14:paraId="5EAC7CD6" w14:textId="362A50B6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Rozdzielczość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kamery nie mniejsza niż</w:t>
            </w:r>
            <w:r w:rsidRPr="00DD2ED0">
              <w:rPr>
                <w:rFonts w:ascii="Calibri" w:hAnsi="Calibri" w:cs="Calibri"/>
                <w:sz w:val="18"/>
                <w:szCs w:val="18"/>
              </w:rPr>
              <w:t xml:space="preserve">:1280 px x 1024 px </w:t>
            </w:r>
          </w:p>
          <w:p w14:paraId="1A3E078B" w14:textId="0BF0CACC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Liczba klatek:</w:t>
            </w:r>
            <w:r w:rsidR="003934B3">
              <w:rPr>
                <w:rFonts w:ascii="Calibri" w:hAnsi="Calibri" w:cs="Calibri"/>
                <w:sz w:val="18"/>
                <w:szCs w:val="18"/>
              </w:rPr>
              <w:t xml:space="preserve"> nie mniejsza niż</w:t>
            </w:r>
            <w:r w:rsidR="00953795">
              <w:rPr>
                <w:rFonts w:ascii="Calibri" w:hAnsi="Calibri" w:cs="Calibri"/>
                <w:sz w:val="18"/>
                <w:szCs w:val="18"/>
              </w:rPr>
              <w:t xml:space="preserve"> 200</w:t>
            </w:r>
            <w:r w:rsidR="003934B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DD2ED0">
              <w:rPr>
                <w:rFonts w:ascii="Calibri" w:hAnsi="Calibri" w:cs="Calibri"/>
                <w:sz w:val="18"/>
                <w:szCs w:val="18"/>
              </w:rPr>
              <w:t>klatek na sekundę (fps)</w:t>
            </w:r>
          </w:p>
          <w:p w14:paraId="58B42541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Tryb pracy: global shutter</w:t>
            </w:r>
          </w:p>
          <w:p w14:paraId="12060C94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lastRenderedPageBreak/>
              <w:t>Typ sensora: CMOS</w:t>
            </w:r>
          </w:p>
          <w:p w14:paraId="0D1D34B4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Kamera kolorowa</w:t>
            </w:r>
          </w:p>
          <w:p w14:paraId="347B93F1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Interface: USB 3.0</w:t>
            </w:r>
          </w:p>
          <w:p w14:paraId="03E74106" w14:textId="77777777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spacing w:line="256" w:lineRule="auto"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Mocowanie: C-mount</w:t>
            </w:r>
          </w:p>
          <w:p w14:paraId="59B626B2" w14:textId="4A7F97BD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Wymiary (dł.  x szer. x  wys.) w mm</w:t>
            </w:r>
            <w:r>
              <w:rPr>
                <w:rFonts w:ascii="Calibri" w:hAnsi="Calibri" w:cs="Calibri"/>
                <w:sz w:val="18"/>
                <w:szCs w:val="18"/>
              </w:rPr>
              <w:t>, nie większe niż</w:t>
            </w:r>
            <w:r w:rsidRPr="00DD2ED0"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 w:rsidRPr="00DD2ED0">
              <w:rPr>
                <w:rFonts w:ascii="Calibri" w:hAnsi="Calibri" w:cs="Calibri"/>
                <w:color w:val="0A0A0A"/>
                <w:sz w:val="18"/>
                <w:szCs w:val="18"/>
              </w:rPr>
              <w:t xml:space="preserve">29.3 x 29 x 29 </w:t>
            </w:r>
          </w:p>
          <w:p w14:paraId="4C4A4377" w14:textId="61021C51" w:rsidR="004E62B0" w:rsidRPr="004A1EB3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DD2ED0">
              <w:rPr>
                <w:rFonts w:ascii="Calibri" w:hAnsi="Calibri" w:cs="Calibri"/>
                <w:sz w:val="18"/>
                <w:szCs w:val="18"/>
              </w:rPr>
              <w:t>Temperatura pracy: 0 °C – 50 °C</w:t>
            </w:r>
          </w:p>
          <w:p w14:paraId="29052B4A" w14:textId="6C9CF55D" w:rsidR="004E62B0" w:rsidRPr="00DD2ED0" w:rsidRDefault="004E62B0" w:rsidP="00DD2ED0">
            <w:pPr>
              <w:pStyle w:val="Akapitzlist"/>
              <w:widowControl/>
              <w:numPr>
                <w:ilvl w:val="0"/>
                <w:numId w:val="7"/>
              </w:numPr>
              <w:suppressAutoHyphens w:val="0"/>
              <w:autoSpaceDN/>
              <w:ind w:left="511" w:hanging="426"/>
              <w:contextualSpacing/>
              <w:textAlignment w:val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18"/>
                <w:szCs w:val="18"/>
                <w:lang w:val="en-GB"/>
              </w:rPr>
              <w:t>Gwarancja min. 24 miesiące</w:t>
            </w:r>
          </w:p>
          <w:p w14:paraId="344AFAD9" w14:textId="77777777" w:rsidR="004E62B0" w:rsidRPr="00DD2ED0" w:rsidRDefault="004E62B0" w:rsidP="00DD2ED0">
            <w:pPr>
              <w:pStyle w:val="Akapitzlist"/>
              <w:widowControl/>
              <w:suppressAutoHyphens w:val="0"/>
              <w:autoSpaceDN/>
              <w:ind w:left="511"/>
              <w:contextualSpacing/>
              <w:textAlignment w:val="auto"/>
              <w:rPr>
                <w:rFonts w:ascii="Calibri" w:hAnsi="Calibri" w:cs="Calibri"/>
                <w:sz w:val="18"/>
                <w:szCs w:val="18"/>
                <w:lang w:val="en-GB"/>
              </w:rPr>
            </w:pPr>
          </w:p>
          <w:p w14:paraId="38B5A091" w14:textId="2AF0B7A5" w:rsidR="004E62B0" w:rsidRPr="0021674E" w:rsidRDefault="004E62B0" w:rsidP="00DD2ED0">
            <w:pPr>
              <w:pStyle w:val="Akapitzlist"/>
              <w:numPr>
                <w:ilvl w:val="0"/>
                <w:numId w:val="8"/>
              </w:numPr>
              <w:ind w:left="511" w:hanging="426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21674E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Mikroskop badawczy przeznaczony do obserwacji preparatów w jasnym polu oraz kontraście fazowym, dostosowany do pracy w terenie</w:t>
            </w:r>
          </w:p>
          <w:p w14:paraId="2ADDB125" w14:textId="0818DCB8" w:rsidR="004E62B0" w:rsidRPr="00DD2ED0" w:rsidRDefault="004E62B0" w:rsidP="004E4EEC">
            <w:pPr>
              <w:spacing w:after="0"/>
              <w:ind w:left="85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1.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   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Statyw / baza mikroskopu</w:t>
            </w:r>
          </w:p>
          <w:p w14:paraId="15E1A373" w14:textId="6B97D880" w:rsidR="004E62B0" w:rsidRPr="00DD2ED0" w:rsidRDefault="004E62B0" w:rsidP="004E4EEC">
            <w:pPr>
              <w:spacing w:after="0"/>
              <w:ind w:left="369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 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Stabilna, zwarta konstrukcja statywu.</w:t>
            </w:r>
          </w:p>
          <w:p w14:paraId="1DF354FA" w14:textId="39244DB9" w:rsidR="004E62B0" w:rsidRPr="00DD2ED0" w:rsidRDefault="004E62B0" w:rsidP="004E4EEC">
            <w:pPr>
              <w:spacing w:after="0"/>
              <w:ind w:left="369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  Wbudowana przysłona polowa.</w:t>
            </w:r>
          </w:p>
          <w:p w14:paraId="45EAC90E" w14:textId="7723F2BE" w:rsidR="004E62B0" w:rsidRPr="00DD2ED0" w:rsidRDefault="004E62B0" w:rsidP="004E4EEC">
            <w:pPr>
              <w:spacing w:after="0"/>
              <w:ind w:left="369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   Wbudowane filtry:</w:t>
            </w:r>
          </w:p>
          <w:p w14:paraId="5B2FEEDB" w14:textId="40C67EDC" w:rsidR="004E62B0" w:rsidRPr="00DD2ED0" w:rsidRDefault="004E62B0" w:rsidP="004E4EEC">
            <w:pPr>
              <w:spacing w:after="0"/>
              <w:ind w:left="369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   ND8</w:t>
            </w:r>
          </w:p>
          <w:p w14:paraId="58EB406B" w14:textId="19FD90CC" w:rsidR="004E62B0" w:rsidRPr="00DD2ED0" w:rsidRDefault="004E62B0" w:rsidP="004E4EEC">
            <w:pPr>
              <w:spacing w:after="0"/>
              <w:ind w:left="369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   NCB11 (niebieski)</w:t>
            </w:r>
          </w:p>
          <w:p w14:paraId="5413222F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Ergonomiczny układ ustawiania ostrości:</w:t>
            </w:r>
          </w:p>
          <w:p w14:paraId="7D1352B1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współosiowe pokrętła makro- i mikrometryczne,</w:t>
            </w:r>
          </w:p>
          <w:p w14:paraId="69584689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ultra-niskie położenie pokręteł, w jednej osi z pokrętłami ruchu stolika (X/Y),</w:t>
            </w:r>
          </w:p>
          <w:p w14:paraId="7A96E7E2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możliwość pełnej obsługi mikroskopu jedną ręką bez odrywania jej od pokręteł stolika.</w:t>
            </w:r>
          </w:p>
          <w:p w14:paraId="0A4ABB72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Hamulec oraz regulacja oporu ruchu makro- i mikrometrycznego.</w:t>
            </w:r>
          </w:p>
          <w:p w14:paraId="7005BF15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Wbudowany w statyw przycisk „Foto”, umożliwiający wykonywanie zdjęć bez przerywania obserwacji w nasadce okularowej.</w:t>
            </w:r>
          </w:p>
          <w:p w14:paraId="3B28CD31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2. Oświetlenie</w:t>
            </w:r>
          </w:p>
          <w:p w14:paraId="27549D3B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Oświetlacz LED do pracy w jasnym polu i kontraście fazowym.</w:t>
            </w:r>
          </w:p>
          <w:p w14:paraId="74209E65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Płynna regulacja natężenia oświetlenia.</w:t>
            </w:r>
          </w:p>
          <w:p w14:paraId="22699137" w14:textId="77777777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Oświetlenie w systemie Köhlera – równomierne i stabilne.</w:t>
            </w:r>
          </w:p>
          <w:p w14:paraId="312AC348" w14:textId="7DAACD13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Wbudowana soczewka wieloogniskowa.</w:t>
            </w:r>
          </w:p>
          <w:p w14:paraId="50926A5C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3. Nasadka obserwacyjna</w:t>
            </w:r>
          </w:p>
          <w:p w14:paraId="5BD68E5C" w14:textId="70707DB8" w:rsidR="004E62B0" w:rsidRPr="00DD2ED0" w:rsidRDefault="004E62B0" w:rsidP="004A1EB3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Nasadka dwupozycyjna z podziałem światła okulary/kamera: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100/0 oraz 0/100.</w:t>
            </w:r>
          </w:p>
          <w:p w14:paraId="5F4C8DF6" w14:textId="76ABCCBF" w:rsidR="004E62B0" w:rsidRPr="00DD2ED0" w:rsidRDefault="004E62B0" w:rsidP="004E4EEC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Pochylenie okularów: 25°.</w:t>
            </w:r>
          </w:p>
          <w:p w14:paraId="16EF11DA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4. Okulary</w:t>
            </w:r>
          </w:p>
          <w:p w14:paraId="6C8C98DB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Okulary CFI 10×, pole widzenia 22 mm.</w:t>
            </w:r>
          </w:p>
          <w:p w14:paraId="68D10065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Możliwość doposażenia w okulary:</w:t>
            </w:r>
          </w:p>
          <w:p w14:paraId="3508FFD4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12,5× – pole widzenia 16 mm,</w:t>
            </w:r>
          </w:p>
          <w:p w14:paraId="354B3964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15× – pole widzenia 14,5 mm,</w:t>
            </w:r>
          </w:p>
          <w:p w14:paraId="21E56ED9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10× – pole widzenia 25 mm.</w:t>
            </w:r>
          </w:p>
          <w:p w14:paraId="79DA332D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Gumowe osłonki okularów.</w:t>
            </w:r>
          </w:p>
          <w:p w14:paraId="42EA35F7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Regulacja dioptryczna w obu okularach.</w:t>
            </w:r>
          </w:p>
          <w:p w14:paraId="611E1831" w14:textId="12F01639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Możliwość montażu mikrometrów okularowych.</w:t>
            </w:r>
          </w:p>
          <w:p w14:paraId="5A92FF11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lastRenderedPageBreak/>
              <w:t>5. Obiektywy</w:t>
            </w:r>
          </w:p>
          <w:p w14:paraId="54502543" w14:textId="04CF36D6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Obiektywy o długości parafokalnej 60 mm,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korygowane do nieskończoności.</w:t>
            </w:r>
          </w:p>
          <w:p w14:paraId="21B25F5F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Przeznaczone do pracy w:</w:t>
            </w:r>
          </w:p>
          <w:p w14:paraId="530185CB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jasnym polu,</w:t>
            </w:r>
          </w:p>
          <w:p w14:paraId="7C76A51E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kontraście fazowym,</w:t>
            </w:r>
          </w:p>
          <w:p w14:paraId="6EA97113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fluorescencji.</w:t>
            </w:r>
          </w:p>
          <w:p w14:paraId="7563C56F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Gwint 25,4 mm (kompatybilność z posiadanymi obiektywami).</w:t>
            </w:r>
          </w:p>
          <w:p w14:paraId="0F9A23F2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Zestaw obiektywów:</w:t>
            </w:r>
          </w:p>
          <w:p w14:paraId="2761AEB1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10× – do jasnego pola i ujemnego kontrastu fazowego,</w:t>
            </w:r>
          </w:p>
          <w:p w14:paraId="6977837B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40× – do jasnego pola,</w:t>
            </w:r>
          </w:p>
          <w:p w14:paraId="64F1045D" w14:textId="1F915211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60× – do jasnego pola.</w:t>
            </w:r>
          </w:p>
          <w:p w14:paraId="0D4147D1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6. Kondensor</w:t>
            </w:r>
          </w:p>
          <w:p w14:paraId="1C6CE336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Kondensor karuzelowy do:</w:t>
            </w:r>
          </w:p>
          <w:p w14:paraId="185550A2" w14:textId="2C977F4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jasnego pola,</w:t>
            </w:r>
          </w:p>
          <w:p w14:paraId="1C030B4E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kontrastu fazowego,</w:t>
            </w:r>
          </w:p>
          <w:p w14:paraId="05170D69" w14:textId="25060E7D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ciemnego pola.</w:t>
            </w:r>
          </w:p>
          <w:p w14:paraId="606A21E0" w14:textId="77777777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7. Rewolwer obiektywowy</w:t>
            </w:r>
          </w:p>
          <w:p w14:paraId="0E0B9A8F" w14:textId="746684FF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Miska rewolwerowa na 6 obiektywów.</w:t>
            </w:r>
          </w:p>
          <w:p w14:paraId="6E350C74" w14:textId="5B08CF86" w:rsidR="004E62B0" w:rsidRPr="00DD2ED0" w:rsidRDefault="004E62B0" w:rsidP="00DD2ED0">
            <w:pPr>
              <w:spacing w:after="0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8.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Stolik przedmiotowy</w:t>
            </w:r>
          </w:p>
          <w:p w14:paraId="042BBA4D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Stolik mechaniczny z nasadką krzyżową.</w:t>
            </w:r>
          </w:p>
          <w:p w14:paraId="1C96CEB4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Uchwyt na dwa preparaty.</w:t>
            </w:r>
          </w:p>
          <w:p w14:paraId="608481BE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Zakres przesuwu minimum 78 × 54 mm.</w:t>
            </w:r>
          </w:p>
          <w:p w14:paraId="56723242" w14:textId="77777777" w:rsidR="004E62B0" w:rsidRPr="00DD2ED0" w:rsidRDefault="004E62B0" w:rsidP="00437B8D">
            <w:pPr>
              <w:spacing w:after="0"/>
              <w:ind w:left="511"/>
              <w:rPr>
                <w:rFonts w:ascii="Calibri" w:hAnsi="Calibri" w:cs="Calibri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Powierzchnia pokryta warstwą odporną na ścieranie.</w:t>
            </w:r>
          </w:p>
          <w:p w14:paraId="6E934F6B" w14:textId="77777777" w:rsidR="004E62B0" w:rsidRDefault="004E62B0" w:rsidP="00437B8D">
            <w:pPr>
              <w:spacing w:after="0"/>
              <w:ind w:left="511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Pokrętła osi X/Y po prawej stronie, wyposażone w: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regulację oporu ruchu,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Pr="00DD2ED0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regulację wysokości położenia.</w:t>
            </w:r>
          </w:p>
          <w:p w14:paraId="439299F9" w14:textId="5C4A4A55" w:rsidR="004E62B0" w:rsidRPr="004A1EB3" w:rsidRDefault="004E62B0" w:rsidP="00437B8D">
            <w:pPr>
              <w:pStyle w:val="Akapitzlist"/>
              <w:numPr>
                <w:ilvl w:val="0"/>
                <w:numId w:val="9"/>
              </w:numPr>
              <w:ind w:left="369"/>
              <w:rPr>
                <w:rFonts w:ascii="Calibri" w:eastAsiaTheme="minorEastAsia" w:hAnsi="Calibri" w:cs="Calibri"/>
                <w:sz w:val="18"/>
                <w:szCs w:val="18"/>
              </w:rPr>
            </w:pPr>
            <w:r w:rsidRPr="00437B8D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Skrzynia Transportowa</w:t>
            </w:r>
          </w:p>
          <w:p w14:paraId="291286BB" w14:textId="2C46DABD" w:rsidR="004E62B0" w:rsidRPr="00437B8D" w:rsidRDefault="004E62B0" w:rsidP="00437B8D">
            <w:pPr>
              <w:pStyle w:val="Akapitzlist"/>
              <w:numPr>
                <w:ilvl w:val="0"/>
                <w:numId w:val="9"/>
              </w:numPr>
              <w:ind w:left="369"/>
              <w:rPr>
                <w:rFonts w:ascii="Calibri" w:eastAsiaTheme="minorEastAsia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>Gwarancja min. 24 miesiące</w:t>
            </w:r>
          </w:p>
          <w:p w14:paraId="2750E186" w14:textId="77777777" w:rsidR="004E62B0" w:rsidRPr="00437B8D" w:rsidRDefault="004E62B0" w:rsidP="00437B8D">
            <w:pPr>
              <w:pStyle w:val="Akapitzlist"/>
              <w:ind w:left="720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</w:p>
          <w:p w14:paraId="6A29C271" w14:textId="77777777" w:rsidR="004E62B0" w:rsidRPr="00DD2ED0" w:rsidRDefault="004E62B0" w:rsidP="00DD2ED0">
            <w:pPr>
              <w:spacing w:after="0"/>
              <w:rPr>
                <w:rFonts w:ascii="Calibri" w:eastAsia="Calibri" w:hAnsi="Calibri" w:cs="Calibri"/>
                <w:b/>
                <w:bCs/>
                <w:color w:val="000000" w:themeColor="text1"/>
                <w:sz w:val="18"/>
                <w:szCs w:val="18"/>
              </w:rPr>
            </w:pPr>
            <w:r w:rsidRPr="00DD2ED0">
              <w:rPr>
                <w:rFonts w:ascii="Calibri" w:eastAsia="Calibri" w:hAnsi="Calibri" w:cs="Calibri"/>
                <w:b/>
                <w:bCs/>
                <w:color w:val="000000" w:themeColor="text1"/>
                <w:sz w:val="18"/>
                <w:szCs w:val="18"/>
              </w:rPr>
              <w:t>V. Zestaw startowy odczynników do analizy nasienia</w:t>
            </w:r>
          </w:p>
          <w:p w14:paraId="27806B16" w14:textId="77777777" w:rsidR="004E62B0" w:rsidRPr="00DD2ED0" w:rsidRDefault="004E62B0" w:rsidP="004A1EB3">
            <w:pPr>
              <w:spacing w:after="0"/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</w:pPr>
          </w:p>
          <w:p w14:paraId="37CF5AE4" w14:textId="08AE86D0" w:rsidR="004E62B0" w:rsidRPr="0021674E" w:rsidRDefault="004E62B0" w:rsidP="00DD2ED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textAlignment w:val="baseline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</w:tbl>
    <w:p w14:paraId="58A328C5" w14:textId="77777777" w:rsidR="00500DA9" w:rsidRPr="00ED3EFF" w:rsidRDefault="00500DA9" w:rsidP="00750865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Calibri" w:eastAsia="Times New Roman" w:hAnsi="Calibri" w:cs="Calibri"/>
          <w:b/>
          <w:bCs/>
          <w:sz w:val="20"/>
          <w:szCs w:val="20"/>
        </w:rPr>
      </w:pPr>
    </w:p>
    <w:p w14:paraId="7A59D4D4" w14:textId="77777777" w:rsidR="00D42A49" w:rsidRPr="00ED3EFF" w:rsidRDefault="00D42A49" w:rsidP="00750865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Calibri" w:eastAsia="Times New Roman" w:hAnsi="Calibri" w:cs="Calibri"/>
          <w:b/>
          <w:bCs/>
          <w:sz w:val="20"/>
          <w:szCs w:val="20"/>
        </w:rPr>
      </w:pPr>
    </w:p>
    <w:sectPr w:rsidR="00D42A49" w:rsidRPr="00ED3EFF" w:rsidSect="00CE2F6D">
      <w:footerReference w:type="default" r:id="rId7"/>
      <w:headerReference w:type="first" r:id="rId8"/>
      <w:footerReference w:type="first" r:id="rId9"/>
      <w:pgSz w:w="16838" w:h="11906" w:orient="landscape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D1569" w14:textId="77777777" w:rsidR="00116E75" w:rsidRDefault="00116E75">
      <w:pPr>
        <w:spacing w:after="0" w:line="240" w:lineRule="auto"/>
      </w:pPr>
      <w:r>
        <w:separator/>
      </w:r>
    </w:p>
  </w:endnote>
  <w:endnote w:type="continuationSeparator" w:id="0">
    <w:p w14:paraId="3919EBA9" w14:textId="77777777" w:rsidR="00116E75" w:rsidRDefault="00116E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DB125" w14:textId="496D0B7B" w:rsidR="00500DA9" w:rsidRDefault="004A6F0C" w:rsidP="0072180B">
    <w:pPr>
      <w:jc w:val="right"/>
    </w:pPr>
    <w:r>
      <w:fldChar w:fldCharType="begin"/>
    </w:r>
    <w:r>
      <w:instrText>PAGE   \* MERGEFORMAT</w:instrText>
    </w:r>
    <w:r>
      <w:fldChar w:fldCharType="separate"/>
    </w:r>
    <w:r w:rsidR="00C80293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F16BB" w14:textId="68D661C5" w:rsidR="00500DA9" w:rsidRDefault="004A6F0C" w:rsidP="00611D17">
    <w:pPr>
      <w:jc w:val="center"/>
    </w:pPr>
    <w:r>
      <w:fldChar w:fldCharType="begin"/>
    </w:r>
    <w:r>
      <w:instrText>PAGE   \* MERGEFORMAT</w:instrText>
    </w:r>
    <w:r>
      <w:fldChar w:fldCharType="separate"/>
    </w:r>
    <w:r w:rsidR="00C80293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685C64" w14:textId="77777777" w:rsidR="00116E75" w:rsidRDefault="00116E75">
      <w:pPr>
        <w:spacing w:after="0" w:line="240" w:lineRule="auto"/>
      </w:pPr>
      <w:r>
        <w:separator/>
      </w:r>
    </w:p>
  </w:footnote>
  <w:footnote w:type="continuationSeparator" w:id="0">
    <w:p w14:paraId="7DDE1A1D" w14:textId="77777777" w:rsidR="00116E75" w:rsidRDefault="00116E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DE3F4" w14:textId="66FAAC39" w:rsidR="00500DA9" w:rsidRPr="00C837D4" w:rsidRDefault="00D42A49" w:rsidP="00C837D4">
    <w:pPr>
      <w:jc w:val="center"/>
      <w:rPr>
        <w:rFonts w:eastAsia="Times New Roman" w:cs="Times New Roman"/>
        <w:b/>
        <w:sz w:val="20"/>
        <w:szCs w:val="20"/>
      </w:rPr>
    </w:pPr>
    <w:bookmarkStart w:id="0" w:name="_Hlk125975313"/>
    <w:bookmarkStart w:id="1" w:name="_Hlk125975314"/>
    <w:r w:rsidRPr="002E4586">
      <w:rPr>
        <w:noProof/>
      </w:rPr>
      <w:drawing>
        <wp:inline distT="0" distB="0" distL="0" distR="0" wp14:anchorId="41A42FEB" wp14:editId="52CF1C91">
          <wp:extent cx="5143500" cy="1028700"/>
          <wp:effectExtent l="0" t="0" r="0" b="0"/>
          <wp:docPr id="10" name="Obraz 10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  <w:bookmarkEnd w:id="1"/>
    <w:r w:rsidR="004E62B0" w:rsidRPr="00B164CC">
      <w:rPr>
        <w:noProof/>
      </w:rPr>
      <w:drawing>
        <wp:inline distT="0" distB="0" distL="0" distR="0" wp14:anchorId="39ADF0E2" wp14:editId="60FED056">
          <wp:extent cx="2013018" cy="900000"/>
          <wp:effectExtent l="0" t="0" r="6350" b="0"/>
          <wp:docPr id="200929460" name="Obraz 1" descr="Obraz zawierający tekst, Czcionka, logo, symbol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929460" name="Obraz 1" descr="Obraz zawierający tekst, Czcionka, logo, symbol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3018" cy="90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C62B6"/>
    <w:multiLevelType w:val="hybridMultilevel"/>
    <w:tmpl w:val="430A33E2"/>
    <w:lvl w:ilvl="0" w:tplc="6D82ADB4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7FB7C"/>
    <w:multiLevelType w:val="hybridMultilevel"/>
    <w:tmpl w:val="C04247A2"/>
    <w:lvl w:ilvl="0" w:tplc="940E448E">
      <w:start w:val="1"/>
      <w:numFmt w:val="upperRoman"/>
      <w:lvlText w:val="%1."/>
      <w:lvlJc w:val="left"/>
      <w:pPr>
        <w:ind w:left="720" w:hanging="360"/>
      </w:pPr>
    </w:lvl>
    <w:lvl w:ilvl="1" w:tplc="84AEA188">
      <w:start w:val="1"/>
      <w:numFmt w:val="lowerLetter"/>
      <w:lvlText w:val="%2."/>
      <w:lvlJc w:val="left"/>
      <w:pPr>
        <w:ind w:left="1440" w:hanging="360"/>
      </w:pPr>
    </w:lvl>
    <w:lvl w:ilvl="2" w:tplc="7CD8F2DE">
      <w:start w:val="1"/>
      <w:numFmt w:val="lowerRoman"/>
      <w:lvlText w:val="%3."/>
      <w:lvlJc w:val="right"/>
      <w:pPr>
        <w:ind w:left="2160" w:hanging="180"/>
      </w:pPr>
    </w:lvl>
    <w:lvl w:ilvl="3" w:tplc="B8AC582C">
      <w:start w:val="1"/>
      <w:numFmt w:val="decimal"/>
      <w:lvlText w:val="%4."/>
      <w:lvlJc w:val="left"/>
      <w:pPr>
        <w:ind w:left="2880" w:hanging="360"/>
      </w:pPr>
    </w:lvl>
    <w:lvl w:ilvl="4" w:tplc="007E46A8">
      <w:start w:val="1"/>
      <w:numFmt w:val="lowerLetter"/>
      <w:lvlText w:val="%5."/>
      <w:lvlJc w:val="left"/>
      <w:pPr>
        <w:ind w:left="3600" w:hanging="360"/>
      </w:pPr>
    </w:lvl>
    <w:lvl w:ilvl="5" w:tplc="15C0DAEE">
      <w:start w:val="1"/>
      <w:numFmt w:val="lowerRoman"/>
      <w:lvlText w:val="%6."/>
      <w:lvlJc w:val="right"/>
      <w:pPr>
        <w:ind w:left="4320" w:hanging="180"/>
      </w:pPr>
    </w:lvl>
    <w:lvl w:ilvl="6" w:tplc="84262C5E">
      <w:start w:val="1"/>
      <w:numFmt w:val="decimal"/>
      <w:lvlText w:val="%7."/>
      <w:lvlJc w:val="left"/>
      <w:pPr>
        <w:ind w:left="5040" w:hanging="360"/>
      </w:pPr>
    </w:lvl>
    <w:lvl w:ilvl="7" w:tplc="8FBCC6DA">
      <w:start w:val="1"/>
      <w:numFmt w:val="lowerLetter"/>
      <w:lvlText w:val="%8."/>
      <w:lvlJc w:val="left"/>
      <w:pPr>
        <w:ind w:left="5760" w:hanging="360"/>
      </w:pPr>
    </w:lvl>
    <w:lvl w:ilvl="8" w:tplc="3536C1D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E0957"/>
    <w:multiLevelType w:val="hybridMultilevel"/>
    <w:tmpl w:val="66902D26"/>
    <w:lvl w:ilvl="0" w:tplc="51827678">
      <w:start w:val="9"/>
      <w:numFmt w:val="decimal"/>
      <w:lvlText w:val="%1."/>
      <w:lvlJc w:val="left"/>
      <w:pPr>
        <w:ind w:left="720" w:hanging="360"/>
      </w:pPr>
      <w:rPr>
        <w:rFonts w:eastAsia="Calibr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058F9F"/>
    <w:multiLevelType w:val="hybridMultilevel"/>
    <w:tmpl w:val="500EA3B2"/>
    <w:lvl w:ilvl="0" w:tplc="92380FDE">
      <w:start w:val="1"/>
      <w:numFmt w:val="decimal"/>
      <w:lvlText w:val="%1."/>
      <w:lvlJc w:val="left"/>
      <w:pPr>
        <w:ind w:left="720" w:hanging="360"/>
      </w:pPr>
    </w:lvl>
    <w:lvl w:ilvl="1" w:tplc="FB36E626">
      <w:start w:val="1"/>
      <w:numFmt w:val="lowerLetter"/>
      <w:lvlText w:val="%2."/>
      <w:lvlJc w:val="left"/>
      <w:pPr>
        <w:ind w:left="1440" w:hanging="360"/>
      </w:pPr>
    </w:lvl>
    <w:lvl w:ilvl="2" w:tplc="E726204E">
      <w:start w:val="1"/>
      <w:numFmt w:val="lowerRoman"/>
      <w:lvlText w:val="%3."/>
      <w:lvlJc w:val="right"/>
      <w:pPr>
        <w:ind w:left="2160" w:hanging="180"/>
      </w:pPr>
    </w:lvl>
    <w:lvl w:ilvl="3" w:tplc="9EFA5616">
      <w:start w:val="1"/>
      <w:numFmt w:val="decimal"/>
      <w:lvlText w:val="%4."/>
      <w:lvlJc w:val="left"/>
      <w:pPr>
        <w:ind w:left="2880" w:hanging="360"/>
      </w:pPr>
    </w:lvl>
    <w:lvl w:ilvl="4" w:tplc="E67E2B88">
      <w:start w:val="1"/>
      <w:numFmt w:val="lowerLetter"/>
      <w:lvlText w:val="%5."/>
      <w:lvlJc w:val="left"/>
      <w:pPr>
        <w:ind w:left="3600" w:hanging="360"/>
      </w:pPr>
    </w:lvl>
    <w:lvl w:ilvl="5" w:tplc="76E23C08">
      <w:start w:val="1"/>
      <w:numFmt w:val="lowerRoman"/>
      <w:lvlText w:val="%6."/>
      <w:lvlJc w:val="right"/>
      <w:pPr>
        <w:ind w:left="4320" w:hanging="180"/>
      </w:pPr>
    </w:lvl>
    <w:lvl w:ilvl="6" w:tplc="6E960950">
      <w:start w:val="1"/>
      <w:numFmt w:val="decimal"/>
      <w:lvlText w:val="%7."/>
      <w:lvlJc w:val="left"/>
      <w:pPr>
        <w:ind w:left="5040" w:hanging="360"/>
      </w:pPr>
    </w:lvl>
    <w:lvl w:ilvl="7" w:tplc="A2DC6FA0">
      <w:start w:val="1"/>
      <w:numFmt w:val="lowerLetter"/>
      <w:lvlText w:val="%8."/>
      <w:lvlJc w:val="left"/>
      <w:pPr>
        <w:ind w:left="5760" w:hanging="360"/>
      </w:pPr>
    </w:lvl>
    <w:lvl w:ilvl="8" w:tplc="E0A6D36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F1229F"/>
    <w:multiLevelType w:val="hybridMultilevel"/>
    <w:tmpl w:val="E3E689BC"/>
    <w:lvl w:ilvl="0" w:tplc="5E8469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44A16"/>
    <w:multiLevelType w:val="hybridMultilevel"/>
    <w:tmpl w:val="02D850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dstrike w:val="0"/>
        <w:u w:val="none"/>
        <w:effect w:val="none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2F2FF8"/>
    <w:multiLevelType w:val="hybridMultilevel"/>
    <w:tmpl w:val="8B6C4D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B833B3"/>
    <w:multiLevelType w:val="hybridMultilevel"/>
    <w:tmpl w:val="426ECC04"/>
    <w:lvl w:ilvl="0" w:tplc="5E84693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7739098F"/>
    <w:multiLevelType w:val="multilevel"/>
    <w:tmpl w:val="2098CC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685910199">
    <w:abstractNumId w:val="8"/>
  </w:num>
  <w:num w:numId="2" w16cid:durableId="1898198149">
    <w:abstractNumId w:val="1"/>
  </w:num>
  <w:num w:numId="3" w16cid:durableId="598835021">
    <w:abstractNumId w:val="3"/>
  </w:num>
  <w:num w:numId="4" w16cid:durableId="1565873672">
    <w:abstractNumId w:val="4"/>
  </w:num>
  <w:num w:numId="5" w16cid:durableId="1973436333">
    <w:abstractNumId w:val="6"/>
  </w:num>
  <w:num w:numId="6" w16cid:durableId="1592277918">
    <w:abstractNumId w:val="7"/>
  </w:num>
  <w:num w:numId="7" w16cid:durableId="1473208110">
    <w:abstractNumId w:val="5"/>
  </w:num>
  <w:num w:numId="8" w16cid:durableId="1613782765">
    <w:abstractNumId w:val="0"/>
  </w:num>
  <w:num w:numId="9" w16cid:durableId="7706669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F86"/>
    <w:rsid w:val="0002372A"/>
    <w:rsid w:val="000772DD"/>
    <w:rsid w:val="000921DB"/>
    <w:rsid w:val="000A3E01"/>
    <w:rsid w:val="000D1246"/>
    <w:rsid w:val="00116E75"/>
    <w:rsid w:val="0013313B"/>
    <w:rsid w:val="001F7F0C"/>
    <w:rsid w:val="0021674E"/>
    <w:rsid w:val="00242105"/>
    <w:rsid w:val="00254D5B"/>
    <w:rsid w:val="002935DC"/>
    <w:rsid w:val="002D70BF"/>
    <w:rsid w:val="00330FFE"/>
    <w:rsid w:val="00365BF1"/>
    <w:rsid w:val="003934B3"/>
    <w:rsid w:val="00397D6B"/>
    <w:rsid w:val="003A73CA"/>
    <w:rsid w:val="003B7D90"/>
    <w:rsid w:val="003D55A5"/>
    <w:rsid w:val="003E00DC"/>
    <w:rsid w:val="0041299F"/>
    <w:rsid w:val="00437B8D"/>
    <w:rsid w:val="00451976"/>
    <w:rsid w:val="004631BB"/>
    <w:rsid w:val="004A1EB3"/>
    <w:rsid w:val="004A5EDD"/>
    <w:rsid w:val="004A6F0C"/>
    <w:rsid w:val="004C2068"/>
    <w:rsid w:val="004E4EEC"/>
    <w:rsid w:val="004E62B0"/>
    <w:rsid w:val="004F1435"/>
    <w:rsid w:val="00500DA9"/>
    <w:rsid w:val="00512008"/>
    <w:rsid w:val="005846DB"/>
    <w:rsid w:val="005917D0"/>
    <w:rsid w:val="005A41AE"/>
    <w:rsid w:val="005C73FE"/>
    <w:rsid w:val="005E4D11"/>
    <w:rsid w:val="00617A96"/>
    <w:rsid w:val="00643193"/>
    <w:rsid w:val="00691D2D"/>
    <w:rsid w:val="006C4089"/>
    <w:rsid w:val="0071498B"/>
    <w:rsid w:val="007227DD"/>
    <w:rsid w:val="007318BE"/>
    <w:rsid w:val="00750865"/>
    <w:rsid w:val="00753476"/>
    <w:rsid w:val="007968BB"/>
    <w:rsid w:val="007B234A"/>
    <w:rsid w:val="007D1B37"/>
    <w:rsid w:val="007D22F7"/>
    <w:rsid w:val="007D2302"/>
    <w:rsid w:val="008061A0"/>
    <w:rsid w:val="00813768"/>
    <w:rsid w:val="00820640"/>
    <w:rsid w:val="0086548B"/>
    <w:rsid w:val="00867EF7"/>
    <w:rsid w:val="008858B1"/>
    <w:rsid w:val="00893005"/>
    <w:rsid w:val="008F12AC"/>
    <w:rsid w:val="00925B2B"/>
    <w:rsid w:val="00927EC7"/>
    <w:rsid w:val="00946AD8"/>
    <w:rsid w:val="00953795"/>
    <w:rsid w:val="00954875"/>
    <w:rsid w:val="009846F0"/>
    <w:rsid w:val="009C59C1"/>
    <w:rsid w:val="009E350B"/>
    <w:rsid w:val="009F01F0"/>
    <w:rsid w:val="00A502F0"/>
    <w:rsid w:val="00A5657E"/>
    <w:rsid w:val="00AE2EFB"/>
    <w:rsid w:val="00AE6941"/>
    <w:rsid w:val="00B04892"/>
    <w:rsid w:val="00B224AE"/>
    <w:rsid w:val="00B37E2C"/>
    <w:rsid w:val="00B861FB"/>
    <w:rsid w:val="00BE5075"/>
    <w:rsid w:val="00BF2E04"/>
    <w:rsid w:val="00C15F86"/>
    <w:rsid w:val="00C1640F"/>
    <w:rsid w:val="00C5321C"/>
    <w:rsid w:val="00C62535"/>
    <w:rsid w:val="00C67D54"/>
    <w:rsid w:val="00C80293"/>
    <w:rsid w:val="00CB3A23"/>
    <w:rsid w:val="00CC0B65"/>
    <w:rsid w:val="00CC23FE"/>
    <w:rsid w:val="00CC3B99"/>
    <w:rsid w:val="00D25ED3"/>
    <w:rsid w:val="00D27EEB"/>
    <w:rsid w:val="00D42A49"/>
    <w:rsid w:val="00DA5AA0"/>
    <w:rsid w:val="00DB56A5"/>
    <w:rsid w:val="00DD2ED0"/>
    <w:rsid w:val="00DF60C6"/>
    <w:rsid w:val="00E06447"/>
    <w:rsid w:val="00E30ACC"/>
    <w:rsid w:val="00E479CD"/>
    <w:rsid w:val="00E67EF7"/>
    <w:rsid w:val="00E777F1"/>
    <w:rsid w:val="00EB301E"/>
    <w:rsid w:val="00EB461F"/>
    <w:rsid w:val="00ED3EFF"/>
    <w:rsid w:val="00EE1968"/>
    <w:rsid w:val="00F26FCB"/>
    <w:rsid w:val="00F410C7"/>
    <w:rsid w:val="00F46BAE"/>
    <w:rsid w:val="00FB6C8A"/>
    <w:rsid w:val="00FE3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AC9BAC"/>
  <w15:docId w15:val="{617FB19E-5D62-4459-A166-2F7850B77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D27EE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80293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D42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A49"/>
  </w:style>
  <w:style w:type="paragraph" w:styleId="Stopka">
    <w:name w:val="footer"/>
    <w:basedOn w:val="Normalny"/>
    <w:link w:val="StopkaZnak"/>
    <w:uiPriority w:val="99"/>
    <w:unhideWhenUsed/>
    <w:rsid w:val="00D42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A49"/>
  </w:style>
  <w:style w:type="paragraph" w:customStyle="1" w:styleId="muitypography-root">
    <w:name w:val="muitypography-root"/>
    <w:basedOn w:val="Normalny"/>
    <w:rsid w:val="008654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jss826">
    <w:name w:val="jss826"/>
    <w:basedOn w:val="Domylnaczcionkaakapitu"/>
    <w:rsid w:val="0086548B"/>
  </w:style>
  <w:style w:type="character" w:styleId="Pogrubienie">
    <w:name w:val="Strong"/>
    <w:basedOn w:val="Domylnaczcionkaakapitu"/>
    <w:uiPriority w:val="22"/>
    <w:qFormat/>
    <w:rsid w:val="00A5657E"/>
    <w:rPr>
      <w:b/>
      <w:bCs/>
    </w:rPr>
  </w:style>
  <w:style w:type="character" w:customStyle="1" w:styleId="tss-1tdp2yv-productdesclink">
    <w:name w:val="tss-1tdp2yv-productdesclink"/>
    <w:basedOn w:val="Domylnaczcionkaakapitu"/>
    <w:rsid w:val="00750865"/>
  </w:style>
  <w:style w:type="character" w:customStyle="1" w:styleId="Nagwek2Znak">
    <w:name w:val="Nagłówek 2 Znak"/>
    <w:basedOn w:val="Domylnaczcionkaakapitu"/>
    <w:link w:val="Nagwek2"/>
    <w:uiPriority w:val="9"/>
    <w:rsid w:val="00D27EEB"/>
    <w:rPr>
      <w:rFonts w:ascii="Times New Roman" w:eastAsia="Times New Roman" w:hAnsi="Times New Roman" w:cs="Times New Roman"/>
      <w:b/>
      <w:bCs/>
      <w:kern w:val="0"/>
      <w:sz w:val="36"/>
      <w:szCs w:val="36"/>
      <w14:ligatures w14:val="none"/>
    </w:rPr>
  </w:style>
  <w:style w:type="character" w:customStyle="1" w:styleId="jss606">
    <w:name w:val="jss606"/>
    <w:basedOn w:val="Domylnaczcionkaakapitu"/>
    <w:rsid w:val="0041299F"/>
  </w:style>
  <w:style w:type="paragraph" w:styleId="Akapitzlist">
    <w:name w:val="List Paragraph"/>
    <w:basedOn w:val="Normalny"/>
    <w:uiPriority w:val="34"/>
    <w:qFormat/>
    <w:rsid w:val="00ED3EFF"/>
    <w:pPr>
      <w:widowControl w:val="0"/>
      <w:suppressAutoHyphens/>
      <w:autoSpaceDN w:val="0"/>
      <w:spacing w:after="0" w:line="240" w:lineRule="auto"/>
      <w:ind w:left="708"/>
      <w:textAlignment w:val="baseline"/>
    </w:pPr>
    <w:rPr>
      <w:rFonts w:ascii="Garamond" w:eastAsia="Times New Roman" w:hAnsi="Garamond" w:cs="Arial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1674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1674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1674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674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674E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9C5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15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2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9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3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0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4</Pages>
  <Words>1028</Words>
  <Characters>6173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Agata Cejko</dc:creator>
  <cp:lastModifiedBy>Anna Zaręba</cp:lastModifiedBy>
  <cp:revision>15</cp:revision>
  <dcterms:created xsi:type="dcterms:W3CDTF">2026-01-21T08:31:00Z</dcterms:created>
  <dcterms:modified xsi:type="dcterms:W3CDTF">2026-02-22T09:46:00Z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892afada-a7fb-43d7-94be-5effbfa4611c</vt:lpwstr>
  </property>
</Properties>
</file>