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Załącznik nr 6 do SIWZ</w:t>
      </w:r>
    </w:p>
    <w:p>
      <w:pPr>
        <w:pStyle w:val="Normal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UMOWA SPRZEDAŻY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Zawarta dnia ……………….202</w:t>
      </w:r>
      <w:r>
        <w:rPr>
          <w:sz w:val="24"/>
          <w:szCs w:val="24"/>
        </w:rPr>
        <w:t>6</w:t>
      </w:r>
      <w:r>
        <w:rPr>
          <w:sz w:val="24"/>
          <w:szCs w:val="24"/>
        </w:rPr>
        <w:t xml:space="preserve"> roku w Szydłowcu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pomiędzy: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Samodzielnym Publicznym Zespołem Zakładów Opieki Zdrowotnej w Szydłowcu                                                           ul. Wschodnia 23, 26 – 500 Szydłowiec 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reprezentowanym przez: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lek. med. Andrzeja Piotrowskiego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zwanym dalej „Zamawiającym”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a: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</w:t>
      </w:r>
      <w:r>
        <w:rPr>
          <w:sz w:val="24"/>
          <w:szCs w:val="24"/>
        </w:rPr>
        <w:t>..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…………………</w:t>
      </w:r>
      <w:r>
        <w:rPr>
          <w:sz w:val="24"/>
          <w:szCs w:val="24"/>
        </w:rPr>
        <w:t>.…………………………….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</w:t>
      </w:r>
      <w:r>
        <w:rPr>
          <w:sz w:val="24"/>
          <w:szCs w:val="24"/>
        </w:rPr>
        <w:t>..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reprezentowanym przez: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- ……………………………………………….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zwanym dalej: „Wykonawcą”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następującej treści:</w:t>
      </w:r>
    </w:p>
    <w:p>
      <w:pPr>
        <w:pStyle w:val="Normal"/>
        <w:rPr/>
      </w:pPr>
      <w:r>
        <w:rPr/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/>
      </w:pPr>
      <w:r>
        <w:rPr>
          <w:sz w:val="24"/>
          <w:szCs w:val="24"/>
        </w:rPr>
        <w:t>Niniejsza umowa jest konsekwencją zamówienia publicznego</w:t>
      </w:r>
      <w:r>
        <w:rPr>
          <w:rFonts w:eastAsia="" w:eastAsiaTheme="minorEastAsia"/>
          <w:sz w:val="24"/>
          <w:szCs w:val="24"/>
          <w:lang w:eastAsia="en-US" w:bidi="en-US"/>
        </w:rPr>
        <w:t xml:space="preserve"> prowadzonego w trybie podstawowym na podstawie art. 275 pkt 1 ustawy z dnia 11 września 2019 r. - Prawo zamówień publicznych (</w:t>
      </w:r>
      <w:r>
        <w:rPr>
          <w:rFonts w:cs="Times New Roman"/>
          <w:sz w:val="23"/>
          <w:szCs w:val="23"/>
          <w:lang w:val="pl-PL"/>
        </w:rPr>
        <w:t>Dz. U. z 2024 r., poz. 1320, ze zm.</w:t>
      </w:r>
      <w:r>
        <w:rPr/>
        <w:t>) [zwanej dalej także „pzp”].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§ 1 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PRZEDMIOT UMOWY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Przedmiotem umowy jest sprzedaż i dostawa przez Wykonawcę na rzecz Zamawiającego samochodu specjalnego, karetki transportowej typu A</w:t>
      </w:r>
      <w:r>
        <w:rPr>
          <w:sz w:val="24"/>
          <w:szCs w:val="24"/>
        </w:rPr>
        <w:t xml:space="preserve">1 </w:t>
      </w:r>
      <w:r>
        <w:rPr>
          <w:sz w:val="24"/>
          <w:szCs w:val="24"/>
        </w:rPr>
        <w:t>w ilości 1 szt. zwanego w dalszej części umowy przedmiotem umowy lub karetką.</w:t>
      </w:r>
    </w:p>
    <w:p>
      <w:pPr>
        <w:pStyle w:val="Normal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Wykonawca oświadcza, że parametry techniczne karetki oraz wyposażenia karetki                 są zgodne z ofertą złożoną do przetargu z dnia ………………. r. </w:t>
      </w:r>
    </w:p>
    <w:p>
      <w:pPr>
        <w:pStyle w:val="Normal"/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>Wykonawca oświadcza, że:</w:t>
      </w:r>
    </w:p>
    <w:p>
      <w:pPr>
        <w:pStyle w:val="Normal"/>
        <w:numPr>
          <w:ilvl w:val="1"/>
          <w:numId w:val="3"/>
        </w:numPr>
        <w:tabs>
          <w:tab w:val="clear" w:pos="708"/>
        </w:tabs>
        <w:ind w:hanging="360" w:left="1080"/>
        <w:jc w:val="both"/>
        <w:rPr>
          <w:sz w:val="24"/>
          <w:szCs w:val="24"/>
        </w:rPr>
      </w:pPr>
      <w:r>
        <w:rPr>
          <w:sz w:val="24"/>
          <w:szCs w:val="24"/>
        </w:rPr>
        <w:t>karetka jest produktem (marka pojazdu) – ………………………………………</w:t>
      </w:r>
    </w:p>
    <w:p>
      <w:pPr>
        <w:pStyle w:val="Normal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Zamawiający powyższą okoliczność przyjmuje i akceptuje.</w:t>
      </w:r>
    </w:p>
    <w:p>
      <w:pPr>
        <w:pStyle w:val="Normal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Integralną częścią umowy jest formularz techniczny stanowiący załącznik                            nr 2 do SIWZ.</w:t>
      </w:r>
    </w:p>
    <w:p>
      <w:pPr>
        <w:pStyle w:val="Normal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Termin dostawy do 1</w:t>
      </w:r>
      <w:r>
        <w:rPr>
          <w:sz w:val="24"/>
          <w:szCs w:val="24"/>
        </w:rPr>
        <w:t>5</w:t>
      </w:r>
      <w:r>
        <w:rPr>
          <w:sz w:val="24"/>
          <w:szCs w:val="24"/>
        </w:rPr>
        <w:t>.</w:t>
      </w:r>
      <w:r>
        <w:rPr>
          <w:sz w:val="24"/>
          <w:szCs w:val="24"/>
        </w:rPr>
        <w:t>06</w:t>
      </w:r>
      <w:r>
        <w:rPr>
          <w:sz w:val="24"/>
          <w:szCs w:val="24"/>
        </w:rPr>
        <w:t>.202</w:t>
      </w:r>
      <w:r>
        <w:rPr>
          <w:sz w:val="24"/>
          <w:szCs w:val="24"/>
        </w:rPr>
        <w:t>6</w:t>
      </w:r>
      <w:r>
        <w:rPr>
          <w:sz w:val="24"/>
          <w:szCs w:val="24"/>
        </w:rPr>
        <w:t xml:space="preserve"> roku</w:t>
      </w:r>
      <w:bookmarkStart w:id="0" w:name="_GoBack"/>
      <w:bookmarkEnd w:id="0"/>
      <w:r>
        <w:rPr>
          <w:sz w:val="24"/>
          <w:szCs w:val="24"/>
        </w:rPr>
        <w:t>.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§ 2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CENA UMOWY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Zgodnie z przyjętą ofertą łączna cena brutto wynosi ………………………… zł słownie: ………………………………………………………………………………...</w:t>
      </w:r>
    </w:p>
    <w:p>
      <w:pPr>
        <w:pStyle w:val="Normal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Cena o której mowa w ust. 1 obejmuje w szczególności:</w:t>
      </w:r>
    </w:p>
    <w:p>
      <w:pPr>
        <w:pStyle w:val="Normal"/>
        <w:numPr>
          <w:ilvl w:val="1"/>
          <w:numId w:val="3"/>
        </w:numPr>
        <w:tabs>
          <w:tab w:val="clear" w:pos="708"/>
        </w:tabs>
        <w:ind w:hanging="360" w:left="1080"/>
        <w:jc w:val="both"/>
        <w:rPr>
          <w:sz w:val="24"/>
          <w:szCs w:val="24"/>
        </w:rPr>
      </w:pPr>
      <w:r>
        <w:rPr>
          <w:sz w:val="24"/>
          <w:szCs w:val="24"/>
        </w:rPr>
        <w:t>wartość karetki z wyposażeniem,</w:t>
      </w:r>
    </w:p>
    <w:p>
      <w:pPr>
        <w:pStyle w:val="Normal"/>
        <w:numPr>
          <w:ilvl w:val="1"/>
          <w:numId w:val="3"/>
        </w:numPr>
        <w:tabs>
          <w:tab w:val="clear" w:pos="708"/>
        </w:tabs>
        <w:ind w:hanging="360" w:left="1080"/>
        <w:jc w:val="both"/>
        <w:rPr>
          <w:sz w:val="24"/>
          <w:szCs w:val="24"/>
        </w:rPr>
      </w:pPr>
      <w:r>
        <w:rPr>
          <w:sz w:val="24"/>
          <w:szCs w:val="24"/>
        </w:rPr>
        <w:t>koszty oddania do eksploatacji karetki z wyposażeniem w miejscu odbioru.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§ 3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WARUNKI PŁATNOŚCI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Płatność będzie realizowana po podpisaniu przez Wykonawcę i Zamawiającego protokołu odbioru (zał. nr 1 do umowy), potwierdzającego przekazanie karetki                        z wyposażeniem Zamawiającemu i przekazaniu przez Wykonawcę Zamawiającemu faktury. Płatność przekazana zostanie na konto Wykonawcy.</w:t>
      </w:r>
    </w:p>
    <w:p>
      <w:pPr>
        <w:pStyle w:val="Normal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Zamawiający zobowiązuje się do uregulowania należności w ciągu </w:t>
      </w:r>
      <w:r>
        <w:rPr>
          <w:sz w:val="24"/>
          <w:szCs w:val="24"/>
        </w:rPr>
        <w:t xml:space="preserve">30 </w:t>
      </w:r>
      <w:r>
        <w:rPr>
          <w:sz w:val="24"/>
          <w:szCs w:val="24"/>
        </w:rPr>
        <w:t>- tu dni              od daty wpływu prawidłowej faktury do Zamawiającego i pod warunkiem prawidłowej dostawy towaru, przelewem bankowym na konto Wykonawcy wskazane w treści faktury.</w:t>
      </w:r>
    </w:p>
    <w:p>
      <w:pPr>
        <w:pStyle w:val="Normal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Jako datę zapłaty faktury przyjmuje się datę złożenia w banku przez Zamawiającego dokumentu „polecenie przelewu”.</w:t>
      </w:r>
    </w:p>
    <w:p>
      <w:pPr>
        <w:pStyle w:val="Normal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Koszty obsługi bankowej powstałe w banku Zamawiającego pokrywa Zamawiający, koszty obsługi bankowej powstałe poza bankiem Zamawiającego pokrywa Wykonawca.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§ 4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WARUNKI DOSTAWY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Wykonawca zobowiązany jest do uzgodnienia z Zamawiającym daty odbioru karetki                        z wyposażeniem i przekazania karetki do eksploatacji za protokołem odbioru, według wzoru jak w załączniku nr 1 do umowy.</w:t>
      </w:r>
    </w:p>
    <w:p>
      <w:pPr>
        <w:pStyle w:val="Normal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 termin przekazania karetki do eksploatacji, rozumie się datę podpisania protokołu odbioru przez Wykonawcę i Zamawiającego.</w:t>
      </w:r>
    </w:p>
    <w:p>
      <w:pPr>
        <w:pStyle w:val="Normal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Wykonawca jest odpowiedzialny za prawidłowe przygotowanie karetki                               do eksploatacji.</w:t>
      </w:r>
    </w:p>
    <w:p>
      <w:pPr>
        <w:pStyle w:val="Normal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Wraz z karetką Wykonawca  przekaże Zamawiającemu następujące dokumenty:</w:t>
      </w:r>
    </w:p>
    <w:p>
      <w:pPr>
        <w:pStyle w:val="Normal"/>
        <w:numPr>
          <w:ilvl w:val="1"/>
          <w:numId w:val="4"/>
        </w:numPr>
        <w:tabs>
          <w:tab w:val="clear" w:pos="708"/>
        </w:tabs>
        <w:ind w:hanging="360" w:left="1080"/>
        <w:jc w:val="both"/>
        <w:rPr>
          <w:sz w:val="24"/>
          <w:szCs w:val="24"/>
        </w:rPr>
      </w:pPr>
      <w:r>
        <w:rPr>
          <w:sz w:val="24"/>
          <w:szCs w:val="24"/>
        </w:rPr>
        <w:t>książka gwarancji karetki i karty gwarancyjne wyposażenia karetki,</w:t>
      </w:r>
    </w:p>
    <w:p>
      <w:pPr>
        <w:pStyle w:val="Normal"/>
        <w:numPr>
          <w:ilvl w:val="1"/>
          <w:numId w:val="4"/>
        </w:numPr>
        <w:tabs>
          <w:tab w:val="clear" w:pos="708"/>
        </w:tabs>
        <w:ind w:hanging="360" w:left="1080"/>
        <w:jc w:val="both"/>
        <w:rPr>
          <w:sz w:val="24"/>
          <w:szCs w:val="24"/>
        </w:rPr>
      </w:pPr>
      <w:r>
        <w:rPr>
          <w:sz w:val="24"/>
          <w:szCs w:val="24"/>
        </w:rPr>
        <w:t>instrukcję obsługi karetki i wyposażenia w języku polskim,</w:t>
      </w:r>
    </w:p>
    <w:p>
      <w:pPr>
        <w:pStyle w:val="Normal"/>
        <w:numPr>
          <w:ilvl w:val="1"/>
          <w:numId w:val="4"/>
        </w:numPr>
        <w:tabs>
          <w:tab w:val="clear" w:pos="708"/>
        </w:tabs>
        <w:ind w:hanging="360" w:left="1080"/>
        <w:jc w:val="both"/>
        <w:rPr>
          <w:sz w:val="24"/>
          <w:szCs w:val="24"/>
        </w:rPr>
      </w:pPr>
      <w:r>
        <w:rPr>
          <w:sz w:val="24"/>
          <w:szCs w:val="24"/>
        </w:rPr>
        <w:t>poświadczona za zgodność kopia ważnego świadectwa homologacji karetki                      w Polsce (na samochód bazowy i zabudowę), wystawioną zgodnie z zapisami zawartymi w przepisach o rejestracji pojazdów,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§ 5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GWARANCJA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Wykonawca gwarantuje, że dostarczona karetka i wyposażenie będzie nowe i będzie pochodzić z bieżącej produkcji, rok produkcji 202</w:t>
      </w:r>
      <w:r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>
      <w:pPr>
        <w:pStyle w:val="Normal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Wykonawca gwarantuje, że karetka będzie przygotowana do odbioru z wyposażeniem, będzie funkcjonalnie sprawna i gotowa do natychmiastowej eksploatacji.</w:t>
      </w:r>
    </w:p>
    <w:p>
      <w:pPr>
        <w:pStyle w:val="Normal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Wykonawca udziela:</w:t>
      </w:r>
    </w:p>
    <w:p>
      <w:pPr>
        <w:pStyle w:val="Normal"/>
        <w:numPr>
          <w:ilvl w:val="1"/>
          <w:numId w:val="5"/>
        </w:numPr>
        <w:ind w:hanging="360" w:left="1080"/>
        <w:jc w:val="both"/>
        <w:rPr>
          <w:sz w:val="24"/>
          <w:szCs w:val="24"/>
        </w:rPr>
      </w:pPr>
      <w:r>
        <w:rPr>
          <w:sz w:val="24"/>
          <w:szCs w:val="24"/>
        </w:rPr>
        <w:t>24 miesięcznej , pełnej gwarancji na karetkę bez limitu kilometrów,</w:t>
      </w:r>
    </w:p>
    <w:p>
      <w:pPr>
        <w:pStyle w:val="Normal"/>
        <w:numPr>
          <w:ilvl w:val="1"/>
          <w:numId w:val="5"/>
        </w:numPr>
        <w:ind w:hanging="360" w:left="1080"/>
        <w:jc w:val="both"/>
        <w:rPr>
          <w:sz w:val="24"/>
          <w:szCs w:val="24"/>
        </w:rPr>
      </w:pPr>
      <w:r>
        <w:rPr>
          <w:sz w:val="24"/>
          <w:szCs w:val="24"/>
        </w:rPr>
        <w:t>24 miesięcznej, pełnej gwarancji na wyposażenie karetki.</w:t>
      </w:r>
    </w:p>
    <w:p>
      <w:pPr>
        <w:pStyle w:val="Normal"/>
        <w:numPr>
          <w:ilvl w:val="1"/>
          <w:numId w:val="5"/>
        </w:numPr>
        <w:ind w:hanging="360" w:left="1080"/>
        <w:jc w:val="both"/>
        <w:rPr>
          <w:sz w:val="24"/>
          <w:szCs w:val="24"/>
        </w:rPr>
      </w:pPr>
      <w:r>
        <w:rPr>
          <w:sz w:val="24"/>
          <w:szCs w:val="24"/>
        </w:rPr>
        <w:t>96 miesięcznej, pełnej gwarancji na elementy nadwozia ambulansu.</w:t>
      </w:r>
    </w:p>
    <w:p>
      <w:pPr>
        <w:pStyle w:val="Normal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Gwarantowany czas rozpoczęcia naprawy gwarancyjnej wynosi 72 godziny licząc              od momentu zgłoszenia uszkodzenia karetki, wyposażenia przez Zamawiającego (pismem, telefonicznie, faksem).</w:t>
      </w:r>
    </w:p>
    <w:p>
      <w:pPr>
        <w:pStyle w:val="Normal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Każda naprawa gwarancyjna powoduje przedłużenie okresu gwarancji karetki, wyposażenia o czas trwania naprawy.</w:t>
      </w:r>
    </w:p>
    <w:p>
      <w:pPr>
        <w:pStyle w:val="Normal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W razie odrzucenia reklamacji przez Wykonawcę, Zamawiający może przeprowadzić ekspertyzę, zlecając jej wykonania niezależnemu rzeczoznawcy.</w:t>
      </w:r>
    </w:p>
    <w:p>
      <w:pPr>
        <w:pStyle w:val="Normal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Jeżeli reklamacja Zamawiającego okaże się uzasadniona, koszty związane                                   z przeprowadzeniem ekspertyzy ponosi Wykonawca.</w:t>
      </w:r>
    </w:p>
    <w:p>
      <w:pPr>
        <w:pStyle w:val="Normal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Wykonawca nie ponosi odpowiedzialności za uszkodzenia karetki, wyposażenia spowodowane nie przestrzeganiem przez pracowników Zamawiającego instrukcji obsługi karetki, wyposażenia.</w:t>
      </w:r>
    </w:p>
    <w:p>
      <w:pPr>
        <w:pStyle w:val="Normal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Celem wykonania usług serwisowych personel Wykonawcy uzyska niczym nieograniczony dostęp do karetki i wyposażenia w godzinach pracy Zamawiającego.</w:t>
      </w:r>
    </w:p>
    <w:p>
      <w:pPr>
        <w:pStyle w:val="Normal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Wykonawca na własny koszt przeprowadzi przegląd przed sprzedażą karetki.</w:t>
      </w:r>
    </w:p>
    <w:p>
      <w:pPr>
        <w:pStyle w:val="Normal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Wykonawca gwarantuje 10 letni okres pełnej obsługi pogwarancyjnej karetki                         i wyposażenia oraz zabezpieczenia na ten czas dostaw części zamiennych i materiałów zużywalnych.</w:t>
      </w:r>
    </w:p>
    <w:p>
      <w:pPr>
        <w:pStyle w:val="Normal"/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Postanowienia niniejszego § 5 określające warunki gwarancji, Wykonawca umieści                 w treści kart gwarancyjnych, które przekaże Zamawiającemu.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§ 6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POSTANOWIENIA KOŃCOWE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W przypadku, gdy Wykonawca opóźnia się z terminem dostawy karetki określonym    w § 4 ust. 1 z przyczyn będących po stronie Wykonawcy, Zamawiającemu przysługuje prawo naliczenia kary umownej w wysokości 0,1% wartości karetki,                 za każdy dzień zwłoki, nie więcej niż 10% ceny netto karetki.</w:t>
      </w:r>
    </w:p>
    <w:p>
      <w:pPr>
        <w:pStyle w:val="Normal"/>
        <w:numPr>
          <w:ilvl w:val="0"/>
          <w:numId w:val="2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W przypadku, gdy szkoda powstała z przyczyn określonych w ust. 1 przewyższa ustanowioną karę umowną, Zamawiający ma prawo żądać odszkodowania uzupełniającego na zasadach ogólnych.</w:t>
      </w:r>
    </w:p>
    <w:p>
      <w:pPr>
        <w:pStyle w:val="Normal"/>
        <w:numPr>
          <w:ilvl w:val="0"/>
          <w:numId w:val="2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W przypadku odstąpienia Wykonawcy od wykonania postanowień niniejszej umowy bez zgody Zamawiającego, bądź odstąpienia Zamawiającego od umowy z przyczyn będących po stronie Wykonawcy, Wykonawca zapłaci Zamawiającemu karę umowną               w wysokości 10% ceny umowy.</w:t>
      </w:r>
    </w:p>
    <w:p>
      <w:pPr>
        <w:pStyle w:val="Normal"/>
        <w:numPr>
          <w:ilvl w:val="0"/>
          <w:numId w:val="2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Niezależnie od kar umownych Zamawiającemu przysługuje prawo dochodzenia odszkodowania na zasadach ogólnych.</w:t>
      </w:r>
    </w:p>
    <w:p>
      <w:pPr>
        <w:pStyle w:val="Normal"/>
        <w:numPr>
          <w:ilvl w:val="0"/>
          <w:numId w:val="2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W przypadku nie uregulowania przez Zamawiającego płatności w terminie określonym w § 3, Wykonawcy przysługuje prawo naliczania odsetek w wysokości ustawowej za opóźnienie od wartości niezapłaconej faktury.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Wykonawca nie może przenosić na osoby trzecie zobowiązań płatniczych Zamawiającego bez jego zgody wyrażonej w formie pisemnej.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W przypadku, gdy okoliczności „siły wyższej” uniemożliwiają chwilowe wykonanie jakichkolwiek zobowiązań zawartych w umowie którejkolwiek  ze stron umowy, określony czas zobowiązań zawartych w umowie będzie opóźniona na czas trwania okoliczności „siły wyższej” oraz odpowiednio o czas trwania jej skutków.</w:t>
      </w:r>
    </w:p>
    <w:p>
      <w:pPr>
        <w:pStyle w:val="ListParagraph"/>
        <w:numPr>
          <w:ilvl w:val="1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Jako siłę wyższą rozumie się wydarzenia i okoliczności nadzwyczajne, nieprzewidywalne, niezależne od dobrej woli i intencji którejkolwiek  ze stron umowy.</w:t>
      </w:r>
    </w:p>
    <w:p>
      <w:pPr>
        <w:pStyle w:val="ListParagraph"/>
        <w:numPr>
          <w:ilvl w:val="1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W przypadku, gdy którakolwiek ze stron nie jest w stanie wywiązać się                 ze swych zobowiązań w związku z okolicznościami „siły wyższej” druga strona musi być poinformowana w formie pisemnej w terminie do 14 dni od momentu zaistnienia w/w okoliczności pod rygorem rozwiązania umowy przez Zamawiającego, w trybie natychmiastowym.</w:t>
      </w:r>
    </w:p>
    <w:p>
      <w:pPr>
        <w:pStyle w:val="ListParagraph"/>
        <w:numPr>
          <w:ilvl w:val="1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Gdy okoliczności „siły wyższej” uniemożliwiają jednej ze stron umowy wywiązanie się ze swych zobowiązań zawartych w umowie przez okres dłuższy niż 3 miesiące, strony umowy mogą rozwiązać umowę w całości lub w części bez odszkodowania.</w:t>
      </w:r>
    </w:p>
    <w:p>
      <w:pPr>
        <w:pStyle w:val="ListParagraph"/>
        <w:numPr>
          <w:ilvl w:val="1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W przypadku rozwiązania umowy jak w punkcie 7.3, jej wykonanie i końcowe rozliczenie musi być uzgodnione i postanowione przez obie strony umowy.</w:t>
      </w:r>
    </w:p>
    <w:p>
      <w:pPr>
        <w:pStyle w:val="ListParagraph"/>
        <w:numPr>
          <w:ilvl w:val="0"/>
          <w:numId w:val="2"/>
        </w:numPr>
        <w:jc w:val="both"/>
        <w:rPr>
          <w:sz w:val="24"/>
        </w:rPr>
      </w:pPr>
      <w:r>
        <w:rPr>
          <w:sz w:val="24"/>
        </w:rPr>
        <w:t>Zamawiający dopuszcza zmianę postanowień umowy w odniesieniu do:</w:t>
      </w:r>
    </w:p>
    <w:p>
      <w:pPr>
        <w:pStyle w:val="ListParagraph"/>
        <w:numPr>
          <w:ilvl w:val="0"/>
          <w:numId w:val="8"/>
        </w:numPr>
        <w:ind w:hanging="284" w:left="993"/>
        <w:jc w:val="both"/>
        <w:rPr>
          <w:sz w:val="24"/>
        </w:rPr>
      </w:pPr>
      <w:r>
        <w:rPr>
          <w:sz w:val="24"/>
          <w:szCs w:val="24"/>
        </w:rPr>
        <w:t>zmian, które są korzystne dla Zamawiającego.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Wykonawca ponosi odpowiedzialność względem Zamawiającego na zasadach ogólnych niezależnie od odpowiedzialności z tytułu kar umownych.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W sprawach nie uregulowanych umową zastosowanie mają przepisy obowiązującego w Polsce Kodeksu Cywilnego oraz ustawy z dnia 29 stycznia 2004 r. Prawo zamówień publicznych (Dz. U. z 2015 r. poz. 2164 oraz z 2016 r. poz. 831.).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Wszelkie spory między stronami, których nie da się rozstrzygnąć polubownie wynikłe w związku albo na podstawie niniejszej umowy, będą rozstrzygane przez sąd powszechny.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Zmiany, uzupełnienia umowy winny być dokonane w formie pisemnej pod rygorem nieważności.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Umowę sporządzono w 2 jednobrzmiących egzemplarzach po 1 dla każdej ze stron.</w:t>
      </w:r>
    </w:p>
    <w:p>
      <w:pPr>
        <w:pStyle w:val="Normal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SPRZEDAJĄCY </w:t>
        <w:tab/>
        <w:tab/>
        <w:tab/>
        <w:tab/>
        <w:tab/>
        <w:t>KUPUJĄCY</w:t>
      </w:r>
    </w:p>
    <w:p>
      <w:pPr>
        <w:pStyle w:val="Normal"/>
        <w:rPr/>
      </w:pPr>
      <w:r>
        <w:rPr/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1417" w:right="1417" w:gutter="0" w:header="0" w:top="1417" w:footer="708" w:bottom="1417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Segoe UI">
    <w:charset w:val="ee"/>
    <w:family w:val="swiss"/>
    <w:pitch w:val="variable"/>
  </w:font>
  <w:font w:name="Arial Unicode MS">
    <w:charset w:val="ee"/>
    <w:family w:val="swiss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257136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false"/>
      </w:rPr>
    </w:lvl>
    <w:lvl w:ilvl="1">
      <w:start w:val="1"/>
      <w:isLgl/>
      <w:numFmt w:val="decimal"/>
      <w:lvlText w:val="%1.%2"/>
      <w:lvlJc w:val="left"/>
      <w:pPr>
        <w:tabs>
          <w:tab w:val="num" w:pos="1068"/>
        </w:tabs>
        <w:ind w:left="1068" w:hanging="360"/>
      </w:pPr>
      <w:rPr/>
    </w:lvl>
    <w:lvl w:ilvl="2">
      <w:start w:val="1"/>
      <w:isLgl/>
      <w:numFmt w:val="decimal"/>
      <w:lvlText w:val="%1.%2.%3"/>
      <w:lvlJc w:val="left"/>
      <w:pPr>
        <w:tabs>
          <w:tab w:val="num" w:pos="1776"/>
        </w:tabs>
        <w:ind w:left="1776" w:hanging="720"/>
      </w:pPr>
      <w:rPr/>
    </w:lvl>
    <w:lvl w:ilvl="3">
      <w:start w:val="1"/>
      <w:isLgl/>
      <w:numFmt w:val="decimal"/>
      <w:lvlText w:val="%1.%2.%3.%4"/>
      <w:lvlJc w:val="left"/>
      <w:pPr>
        <w:tabs>
          <w:tab w:val="num" w:pos="2124"/>
        </w:tabs>
        <w:ind w:left="2124" w:hanging="720"/>
      </w:pPr>
      <w:rPr/>
    </w:lvl>
    <w:lvl w:ilvl="4">
      <w:start w:val="1"/>
      <w:isLgl/>
      <w:numFmt w:val="decimal"/>
      <w:lvlText w:val="%1.%2.%3.%4.%5"/>
      <w:lvlJc w:val="left"/>
      <w:pPr>
        <w:tabs>
          <w:tab w:val="num" w:pos="2832"/>
        </w:tabs>
        <w:ind w:left="2832" w:hanging="1080"/>
      </w:pPr>
      <w:rPr/>
    </w:lvl>
    <w:lvl w:ilvl="5">
      <w:start w:val="1"/>
      <w:isLgl/>
      <w:numFmt w:val="decimal"/>
      <w:lvlText w:val="%1.%2.%3.%4.%5.%6"/>
      <w:lvlJc w:val="left"/>
      <w:pPr>
        <w:tabs>
          <w:tab w:val="num" w:pos="3180"/>
        </w:tabs>
        <w:ind w:left="3180" w:hanging="1080"/>
      </w:pPr>
      <w:rPr/>
    </w:lvl>
    <w:lvl w:ilvl="6">
      <w:start w:val="1"/>
      <w:isLgl/>
      <w:numFmt w:val="decimal"/>
      <w:lvlText w:val="%1.%2.%3.%4.%5.%6.%7"/>
      <w:lvlJc w:val="left"/>
      <w:pPr>
        <w:tabs>
          <w:tab w:val="num" w:pos="3888"/>
        </w:tabs>
        <w:ind w:left="3888" w:hanging="1440"/>
      </w:pPr>
      <w:rPr/>
    </w:lvl>
    <w:lvl w:ilvl="7">
      <w:start w:val="1"/>
      <w:isLgl/>
      <w:numFmt w:val="decimal"/>
      <w:lvlText w:val="%1.%2.%3.%4.%5.%6.%7.%8"/>
      <w:lvlJc w:val="left"/>
      <w:pPr>
        <w:tabs>
          <w:tab w:val="num" w:pos="4236"/>
        </w:tabs>
        <w:ind w:left="4236" w:hanging="1440"/>
      </w:pPr>
      <w:rPr/>
    </w:lvl>
    <w:lvl w:ilvl="8">
      <w:start w:val="1"/>
      <w:isLgl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false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135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07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79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51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23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95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67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39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113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3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4"/>
    <w:lvlOverride w:ilvl="0">
      <w:startOverride w:val="1"/>
    </w:lvlOverride>
  </w:num>
  <w:num w:numId="13">
    <w:abstractNumId w:val="5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430559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eastAsia="pl-PL" w:val="pl-PL" w:bidi="ar-SA"/>
    </w:rPr>
  </w:style>
  <w:style w:type="paragraph" w:styleId="Heading1">
    <w:name w:val="heading 1"/>
    <w:basedOn w:val="Normal"/>
    <w:next w:val="Normal"/>
    <w:qFormat/>
    <w:pPr>
      <w:numPr>
        <w:ilvl w:val="0"/>
        <w:numId w:val="0"/>
      </w:numPr>
      <w:spacing w:before="480" w:after="0"/>
      <w:contextualSpacing/>
      <w:outlineLvl w:val="0"/>
    </w:pPr>
    <w:rPr>
      <w:rFonts w:ascii="Cambria" w:hAnsi="Cambria" w:eastAsia="Calibri" w:cs=""/>
      <w:b/>
      <w:bCs/>
      <w:sz w:val="28"/>
      <w:szCs w:val="28"/>
    </w:rPr>
  </w:style>
  <w:style w:type="paragraph" w:styleId="Heading2">
    <w:name w:val="heading 2"/>
    <w:basedOn w:val="Normal"/>
    <w:next w:val="Normal"/>
    <w:qFormat/>
    <w:pPr>
      <w:numPr>
        <w:ilvl w:val="0"/>
        <w:numId w:val="0"/>
      </w:numPr>
      <w:spacing w:before="200" w:after="0"/>
      <w:outlineLvl w:val="1"/>
    </w:pPr>
    <w:rPr>
      <w:rFonts w:ascii="Cambria" w:hAnsi="Cambria" w:eastAsia="Calibri" w:cs=""/>
      <w:b/>
      <w:bCs/>
      <w:sz w:val="26"/>
      <w:szCs w:val="26"/>
    </w:rPr>
  </w:style>
  <w:style w:type="paragraph" w:styleId="Heading3">
    <w:name w:val="heading 3"/>
    <w:basedOn w:val="Normal"/>
    <w:next w:val="Normal"/>
    <w:qFormat/>
    <w:pPr>
      <w:numPr>
        <w:ilvl w:val="0"/>
        <w:numId w:val="0"/>
      </w:numPr>
      <w:spacing w:lineRule="auto" w:line="271" w:before="200" w:after="0"/>
      <w:outlineLvl w:val="2"/>
    </w:pPr>
    <w:rPr>
      <w:rFonts w:ascii="Cambria" w:hAnsi="Cambria" w:eastAsia="Calibri" w:cs=""/>
      <w:b/>
      <w:bCs/>
    </w:rPr>
  </w:style>
  <w:style w:type="paragraph" w:styleId="Heading4">
    <w:name w:val="heading 4"/>
    <w:basedOn w:val="Normal"/>
    <w:next w:val="Normal"/>
    <w:qFormat/>
    <w:pPr>
      <w:numPr>
        <w:ilvl w:val="0"/>
        <w:numId w:val="0"/>
      </w:numPr>
      <w:spacing w:before="200" w:after="0"/>
      <w:outlineLvl w:val="3"/>
    </w:pPr>
    <w:rPr>
      <w:rFonts w:ascii="Cambria" w:hAnsi="Cambria" w:eastAsia="Calibri" w:cs=""/>
      <w:b/>
      <w:bCs/>
      <w:i/>
      <w:iCs/>
    </w:rPr>
  </w:style>
  <w:style w:type="paragraph" w:styleId="Heading5">
    <w:name w:val="heading 5"/>
    <w:basedOn w:val="Normal"/>
    <w:next w:val="Normal"/>
    <w:qFormat/>
    <w:pPr>
      <w:numPr>
        <w:ilvl w:val="0"/>
        <w:numId w:val="0"/>
      </w:numPr>
      <w:spacing w:before="200" w:after="0"/>
      <w:outlineLvl w:val="4"/>
    </w:pPr>
    <w:rPr>
      <w:rFonts w:ascii="Cambria" w:hAnsi="Cambria" w:eastAsia="Calibri" w:cs=""/>
      <w:b/>
      <w:bCs/>
      <w:color w:themeColor="dark1" w:themeTint="80" w:val="7F7F7F"/>
    </w:rPr>
  </w:style>
  <w:style w:type="paragraph" w:styleId="Heading6">
    <w:name w:val="heading 6"/>
    <w:basedOn w:val="Normal"/>
    <w:next w:val="Normal"/>
    <w:qFormat/>
    <w:pPr>
      <w:numPr>
        <w:ilvl w:val="0"/>
        <w:numId w:val="0"/>
      </w:numPr>
      <w:spacing w:lineRule="auto" w:line="271" w:before="0" w:after="0"/>
      <w:outlineLvl w:val="5"/>
    </w:pPr>
    <w:rPr>
      <w:rFonts w:ascii="Cambria" w:hAnsi="Cambria" w:eastAsia="Calibri" w:cs=""/>
      <w:b/>
      <w:bCs/>
      <w:i/>
      <w:iCs/>
      <w:color w:themeColor="dark1" w:themeTint="80" w:val="7F7F7F"/>
    </w:rPr>
  </w:style>
  <w:style w:type="paragraph" w:styleId="Heading7">
    <w:name w:val="heading 7"/>
    <w:basedOn w:val="Normal"/>
    <w:next w:val="Normal"/>
    <w:qFormat/>
    <w:pPr>
      <w:numPr>
        <w:ilvl w:val="0"/>
        <w:numId w:val="0"/>
      </w:numPr>
      <w:spacing w:before="0" w:after="0"/>
      <w:outlineLvl w:val="6"/>
    </w:pPr>
    <w:rPr>
      <w:rFonts w:ascii="Cambria" w:hAnsi="Cambria" w:eastAsia="Calibri" w:cs=""/>
      <w:i/>
      <w:iCs/>
    </w:rPr>
  </w:style>
  <w:style w:type="paragraph" w:styleId="Heading8">
    <w:name w:val="heading 8"/>
    <w:basedOn w:val="Normal"/>
    <w:next w:val="Normal"/>
    <w:qFormat/>
    <w:pPr>
      <w:numPr>
        <w:ilvl w:val="0"/>
        <w:numId w:val="0"/>
      </w:numPr>
      <w:spacing w:before="0" w:after="0"/>
      <w:outlineLvl w:val="7"/>
    </w:pPr>
    <w:rPr>
      <w:rFonts w:ascii="Cambria" w:hAnsi="Cambria" w:eastAsia="Calibri" w:cs=""/>
      <w:sz w:val="20"/>
      <w:szCs w:val="20"/>
    </w:rPr>
  </w:style>
  <w:style w:type="paragraph" w:styleId="Heading9">
    <w:name w:val="heading 9"/>
    <w:basedOn w:val="Normal"/>
    <w:next w:val="Normal"/>
    <w:qFormat/>
    <w:pPr>
      <w:numPr>
        <w:ilvl w:val="0"/>
        <w:numId w:val="0"/>
      </w:numPr>
      <w:spacing w:before="0" w:after="0"/>
      <w:outlineLvl w:val="8"/>
    </w:pPr>
    <w:rPr>
      <w:rFonts w:ascii="Cambria" w:hAnsi="Cambria" w:eastAsia="Calibri" w:cs=""/>
      <w:i/>
      <w:iCs/>
      <w:spacing w:val="5"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uiPriority w:val="99"/>
    <w:semiHidden/>
    <w:qFormat/>
    <w:rsid w:val="00623052"/>
    <w:rPr>
      <w:rFonts w:ascii="Times New Roman" w:hAnsi="Times New Roman" w:eastAsia="Times New Roman" w:cs="Times New Roman"/>
      <w:sz w:val="20"/>
      <w:szCs w:val="20"/>
      <w:lang w:eastAsia="pl-PL"/>
    </w:rPr>
  </w:style>
  <w:style w:type="character" w:styleId="StopkaZnak" w:customStyle="1">
    <w:name w:val="Stopka Znak"/>
    <w:basedOn w:val="DefaultParagraphFont"/>
    <w:uiPriority w:val="99"/>
    <w:qFormat/>
    <w:rsid w:val="00623052"/>
    <w:rPr>
      <w:rFonts w:ascii="Times New Roman" w:hAnsi="Times New Roman" w:eastAsia="Times New Roman" w:cs="Times New Roman"/>
      <w:sz w:val="20"/>
      <w:szCs w:val="20"/>
      <w:lang w:eastAsia="pl-PL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e76441"/>
    <w:rPr>
      <w:rFonts w:ascii="Segoe UI" w:hAnsi="Segoe UI" w:eastAsia="Times New Roman" w:cs="Segoe UI"/>
      <w:sz w:val="18"/>
      <w:szCs w:val="18"/>
      <w:lang w:eastAsia="pl-PL"/>
    </w:rPr>
  </w:style>
  <w:style w:type="character" w:styleId="czeindeksuuser">
    <w:name w:val="Łącze indeksu (user)"/>
    <w:qFormat/>
    <w:rPr/>
  </w:style>
  <w:style w:type="character" w:styleId="Znakinumeracji">
    <w:name w:val="Znaki numeracji"/>
    <w:qFormat/>
    <w:rPr/>
  </w:style>
  <w:style w:type="character" w:styleId="czeindeksu">
    <w:name w:val="Łącze indeksu"/>
    <w:qFormat/>
    <w:rPr/>
  </w:style>
  <w:style w:type="character" w:styleId="Normalny1">
    <w:name w:val="Normalny1"/>
    <w:basedOn w:val="DefaultParagraphFont"/>
    <w:qFormat/>
    <w:rPr/>
  </w:style>
  <w:style w:type="character" w:styleId="TekstpodstawowywcityZnak">
    <w:name w:val="Tekst podstawowy wcięty Znak"/>
    <w:basedOn w:val="DefaultParagraphFont"/>
    <w:qFormat/>
    <w:rPr>
      <w:rFonts w:ascii="Arial Unicode MS" w:hAnsi="Arial Unicode MS" w:eastAsia="Arial Unicode MS" w:cs="Arial Unicode MS"/>
      <w:color w:val="000000"/>
      <w:sz w:val="24"/>
      <w:szCs w:val="24"/>
      <w:lang w:val="pl-PL" w:eastAsia="pl-PL" w:bidi="ar-SA"/>
    </w:rPr>
  </w:style>
  <w:style w:type="character" w:styleId="FollowedHyperlink">
    <w:name w:val="FollowedHyperlink"/>
    <w:basedOn w:val="DefaultParagraphFont"/>
    <w:rPr>
      <w:color w:themeColor="followedHyperlink" w:val="800080"/>
      <w:u w:val="single"/>
    </w:rPr>
  </w:style>
  <w:style w:type="character" w:styleId="AkapitzlistZnak">
    <w:name w:val="Akapit z listą Znak"/>
    <w:qFormat/>
    <w:rPr/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markedcontent">
    <w:name w:val="markedcontent"/>
    <w:basedOn w:val="DefaultParagraphFont"/>
    <w:qFormat/>
    <w:rPr/>
  </w:style>
  <w:style w:type="character" w:styleId="BookTitle">
    <w:name w:val="Book Title"/>
    <w:qFormat/>
    <w:rPr>
      <w:i/>
      <w:iCs/>
      <w:smallCaps/>
      <w:spacing w:val="5"/>
    </w:rPr>
  </w:style>
  <w:style w:type="character" w:styleId="IntenseReference">
    <w:name w:val="Intense Reference"/>
    <w:qFormat/>
    <w:rPr>
      <w:smallCaps/>
      <w:spacing w:val="5"/>
      <w:u w:val="single"/>
    </w:rPr>
  </w:style>
  <w:style w:type="character" w:styleId="SubtleReference">
    <w:name w:val="Subtle Reference"/>
    <w:qFormat/>
    <w:rPr>
      <w:smallCaps/>
    </w:rPr>
  </w:style>
  <w:style w:type="character" w:styleId="IntenseEmphasis">
    <w:name w:val="Intense Emphasis"/>
    <w:qFormat/>
    <w:rPr>
      <w:b/>
      <w:bCs/>
    </w:rPr>
  </w:style>
  <w:style w:type="character" w:styleId="SubtleEmphasis">
    <w:name w:val="Subtle Emphasis"/>
    <w:qFormat/>
    <w:rPr>
      <w:i/>
      <w:iCs/>
    </w:rPr>
  </w:style>
  <w:style w:type="character" w:styleId="CytatintensywnyZnak">
    <w:name w:val="Cytat intensywny Znak"/>
    <w:basedOn w:val="DefaultParagraphFont"/>
    <w:qFormat/>
    <w:rPr>
      <w:b/>
      <w:bCs/>
      <w:i/>
      <w:iCs/>
    </w:rPr>
  </w:style>
  <w:style w:type="character" w:styleId="CytatZnak">
    <w:name w:val="Cytat Znak"/>
    <w:basedOn w:val="DefaultParagraphFont"/>
    <w:qFormat/>
    <w:rPr>
      <w:i/>
      <w:iCs/>
    </w:rPr>
  </w:style>
  <w:style w:type="character" w:styleId="Emphasis">
    <w:name w:val="Emphasis"/>
    <w:qFormat/>
    <w:rPr>
      <w:b/>
      <w:bCs/>
      <w:i/>
      <w:iCs/>
      <w:spacing w:val="10"/>
      <w:shd w:fill="auto" w:val="clear"/>
    </w:rPr>
  </w:style>
  <w:style w:type="character" w:styleId="Strong">
    <w:name w:val="Strong"/>
    <w:qFormat/>
    <w:rPr>
      <w:b/>
      <w:bCs/>
    </w:rPr>
  </w:style>
  <w:style w:type="character" w:styleId="PodtytuZnak">
    <w:name w:val="Podtytuł Znak"/>
    <w:basedOn w:val="DefaultParagraphFont"/>
    <w:qFormat/>
    <w:rPr>
      <w:rFonts w:ascii="Cambria" w:hAnsi="Cambria" w:eastAsia="Calibri" w:cs=""/>
      <w:i/>
      <w:iCs/>
      <w:spacing w:val="13"/>
      <w:sz w:val="24"/>
      <w:szCs w:val="24"/>
    </w:rPr>
  </w:style>
  <w:style w:type="character" w:styleId="TytuZnak">
    <w:name w:val="Tytuł Znak"/>
    <w:basedOn w:val="DefaultParagraphFont"/>
    <w:qFormat/>
    <w:rPr>
      <w:rFonts w:ascii="Cambria" w:hAnsi="Cambria" w:eastAsia="Calibri" w:cs=""/>
      <w:spacing w:val="5"/>
      <w:sz w:val="52"/>
      <w:szCs w:val="52"/>
    </w:rPr>
  </w:style>
  <w:style w:type="character" w:styleId="Nagwek9Znak">
    <w:name w:val="Nagłówek 9 Znak"/>
    <w:basedOn w:val="DefaultParagraphFont"/>
    <w:qFormat/>
    <w:rPr>
      <w:rFonts w:ascii="Cambria" w:hAnsi="Cambria" w:eastAsia="Calibri" w:cs=""/>
      <w:i/>
      <w:iCs/>
      <w:spacing w:val="5"/>
      <w:sz w:val="20"/>
      <w:szCs w:val="20"/>
    </w:rPr>
  </w:style>
  <w:style w:type="character" w:styleId="Nagwek8Znak">
    <w:name w:val="Nagłówek 8 Znak"/>
    <w:basedOn w:val="DefaultParagraphFont"/>
    <w:qFormat/>
    <w:rPr>
      <w:rFonts w:ascii="Cambria" w:hAnsi="Cambria" w:eastAsia="Calibri" w:cs=""/>
      <w:sz w:val="20"/>
      <w:szCs w:val="20"/>
    </w:rPr>
  </w:style>
  <w:style w:type="character" w:styleId="Nagwek7Znak">
    <w:name w:val="Nagłówek 7 Znak"/>
    <w:basedOn w:val="DefaultParagraphFont"/>
    <w:qFormat/>
    <w:rPr>
      <w:rFonts w:ascii="Cambria" w:hAnsi="Cambria" w:eastAsia="Calibri" w:cs=""/>
      <w:i/>
      <w:iCs/>
    </w:rPr>
  </w:style>
  <w:style w:type="character" w:styleId="Nagwek6Znak">
    <w:name w:val="Nagłówek 6 Znak"/>
    <w:basedOn w:val="DefaultParagraphFont"/>
    <w:qFormat/>
    <w:rPr>
      <w:rFonts w:ascii="Cambria" w:hAnsi="Cambria" w:eastAsia="Calibri" w:cs=""/>
      <w:b/>
      <w:bCs/>
      <w:i/>
      <w:iCs/>
      <w:color w:themeColor="dark1" w:themeTint="80" w:val="7F7F7F"/>
    </w:rPr>
  </w:style>
  <w:style w:type="character" w:styleId="Nagwek5Znak">
    <w:name w:val="Nagłówek 5 Znak"/>
    <w:basedOn w:val="DefaultParagraphFont"/>
    <w:qFormat/>
    <w:rPr>
      <w:rFonts w:ascii="Cambria" w:hAnsi="Cambria" w:eastAsia="Calibri" w:cs=""/>
      <w:b/>
      <w:bCs/>
      <w:color w:themeColor="dark1" w:themeTint="80" w:val="7F7F7F"/>
    </w:rPr>
  </w:style>
  <w:style w:type="character" w:styleId="Nagwek4Znak">
    <w:name w:val="Nagłówek 4 Znak"/>
    <w:basedOn w:val="DefaultParagraphFont"/>
    <w:qFormat/>
    <w:rPr>
      <w:rFonts w:ascii="Cambria" w:hAnsi="Cambria" w:eastAsia="Calibri" w:cs=""/>
      <w:b/>
      <w:bCs/>
      <w:i/>
      <w:iCs/>
    </w:rPr>
  </w:style>
  <w:style w:type="character" w:styleId="Nagwek3Znak">
    <w:name w:val="Nagłówek 3 Znak"/>
    <w:basedOn w:val="DefaultParagraphFont"/>
    <w:qFormat/>
    <w:rPr>
      <w:rFonts w:ascii="Cambria" w:hAnsi="Cambria" w:eastAsia="Calibri" w:cs=""/>
      <w:b/>
      <w:bCs/>
    </w:rPr>
  </w:style>
  <w:style w:type="character" w:styleId="Nagwek2Znak">
    <w:name w:val="Nagłówek 2 Znak"/>
    <w:basedOn w:val="DefaultParagraphFont"/>
    <w:qFormat/>
    <w:rPr>
      <w:rFonts w:ascii="Cambria" w:hAnsi="Cambria" w:eastAsia="Calibri" w:cs=""/>
      <w:b/>
      <w:bCs/>
      <w:sz w:val="26"/>
      <w:szCs w:val="26"/>
    </w:rPr>
  </w:style>
  <w:style w:type="character" w:styleId="Nagwek1Znak">
    <w:name w:val="Nagłówek 1 Znak"/>
    <w:basedOn w:val="DefaultParagraphFont"/>
    <w:qFormat/>
    <w:rPr>
      <w:rFonts w:ascii="Cambria" w:hAnsi="Cambria" w:eastAsia="Calibri" w:cs=""/>
      <w:b/>
      <w:bCs/>
      <w:sz w:val="28"/>
      <w:szCs w:val="28"/>
    </w:rPr>
  </w:style>
  <w:style w:type="character" w:styleId="Hyperlink">
    <w:name w:val="Hyperlink"/>
    <w:basedOn w:val="DefaultParagraphFont"/>
    <w:rPr>
      <w:color w:themeColor="hyperlink" w:val="0000FF"/>
      <w:u w:val="single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430559"/>
    <w:pPr>
      <w:spacing w:before="0" w:after="0"/>
      <w:ind w:left="720"/>
      <w:contextualSpacing/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semiHidden/>
    <w:unhideWhenUsed/>
    <w:rsid w:val="0062305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uiPriority w:val="99"/>
    <w:unhideWhenUsed/>
    <w:rsid w:val="0062305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e76441"/>
    <w:pPr/>
    <w:rPr>
      <w:rFonts w:ascii="Segoe UI" w:hAnsi="Segoe UI" w:cs="Segoe UI"/>
      <w:sz w:val="18"/>
      <w:szCs w:val="18"/>
    </w:rPr>
  </w:style>
  <w:style w:type="paragraph" w:styleId="BodyTextIndent">
    <w:name w:val="Body Text Indent"/>
    <w:basedOn w:val="Normal"/>
    <w:pPr>
      <w:spacing w:lineRule="auto" w:line="240" w:before="0" w:after="120"/>
      <w:ind w:left="283"/>
    </w:pPr>
    <w:rPr>
      <w:rFonts w:ascii="Arial Unicode MS" w:hAnsi="Arial Unicode MS" w:eastAsia="Arial Unicode MS" w:cs="Arial Unicode MS"/>
      <w:color w:val="000000"/>
      <w:sz w:val="24"/>
      <w:szCs w:val="24"/>
      <w:lang w:val="pl-PL" w:eastAsia="pl-PL" w:bidi="ar-SA"/>
    </w:rPr>
  </w:style>
  <w:style w:type="paragraph" w:styleId="Default">
    <w:name w:val="Default"/>
    <w:qFormat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Calibri" w:asciiTheme="minorHAnsi" w:eastAsiaTheme="minorHAnsi" w:hAnsiTheme="minorHAnsi"/>
      <w:color w:val="000000"/>
      <w:kern w:val="0"/>
      <w:sz w:val="24"/>
      <w:szCs w:val="24"/>
      <w:lang w:val="pl-PL" w:eastAsia="en-US" w:bidi="ar-SA"/>
    </w:rPr>
  </w:style>
  <w:style w:type="paragraph" w:styleId="Standard">
    <w:name w:val="Standard"/>
    <w:qFormat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Calibri" w:hAnsi="Calibri" w:eastAsia="SimSun" w:cs="F" w:asciiTheme="minorHAnsi" w:hAnsiTheme="minorHAnsi"/>
      <w:color w:val="auto"/>
      <w:kern w:val="2"/>
      <w:sz w:val="22"/>
      <w:szCs w:val="22"/>
      <w:lang w:val="pl-PL" w:eastAsia="en-US" w:bidi="ar-SA"/>
    </w:rPr>
  </w:style>
  <w:style w:type="paragraph" w:styleId="TOC3">
    <w:name w:val="toc 3"/>
    <w:basedOn w:val="Normal"/>
    <w:next w:val="Normal"/>
    <w:pPr>
      <w:spacing w:lineRule="auto" w:line="259" w:before="0" w:after="100"/>
      <w:ind w:left="440"/>
    </w:pPr>
    <w:rPr>
      <w:rFonts w:cs="Times New Roman"/>
      <w:lang w:val="pl-PL" w:eastAsia="pl-PL" w:bidi="ar-SA"/>
    </w:rPr>
  </w:style>
  <w:style w:type="paragraph" w:styleId="TOC2">
    <w:name w:val="toc 2"/>
    <w:basedOn w:val="Normal"/>
    <w:next w:val="Normal"/>
    <w:pPr>
      <w:spacing w:lineRule="auto" w:line="259" w:before="0" w:after="100"/>
      <w:ind w:left="220"/>
    </w:pPr>
    <w:rPr>
      <w:rFonts w:cs="Times New Roman"/>
      <w:lang w:val="pl-PL" w:eastAsia="pl-PL" w:bidi="ar-SA"/>
    </w:rPr>
  </w:style>
  <w:style w:type="paragraph" w:styleId="Gwkaistopkauser">
    <w:name w:val="Główka i stopka (user)"/>
    <w:basedOn w:val="Normal"/>
    <w:qFormat/>
    <w:pPr/>
    <w:rPr/>
  </w:style>
  <w:style w:type="paragraph" w:styleId="TOC1">
    <w:name w:val="toc 1"/>
    <w:basedOn w:val="Normal"/>
    <w:next w:val="Normal"/>
    <w:pPr>
      <w:tabs>
        <w:tab w:val="clear" w:pos="708"/>
        <w:tab w:val="right" w:pos="9062" w:leader="dot"/>
      </w:tabs>
      <w:spacing w:lineRule="auto" w:line="240" w:before="0" w:after="0"/>
      <w:ind w:hanging="851" w:left="851"/>
    </w:pPr>
    <w:rPr/>
  </w:style>
  <w:style w:type="paragraph" w:styleId="IntenseQuote">
    <w:name w:val="Intense Quote"/>
    <w:basedOn w:val="Normal"/>
    <w:next w:val="Normal"/>
    <w:qFormat/>
    <w:pPr>
      <w:pBdr>
        <w:bottom w:val="single" w:sz="4" w:space="1" w:color="000000"/>
      </w:pBdr>
      <w:spacing w:before="200" w:after="280"/>
      <w:ind w:left="1008" w:right="1152"/>
      <w:jc w:val="both"/>
    </w:pPr>
    <w:rPr>
      <w:b/>
      <w:bCs/>
      <w:i/>
      <w:iCs/>
    </w:rPr>
  </w:style>
  <w:style w:type="paragraph" w:styleId="Quote">
    <w:name w:val="Quote"/>
    <w:basedOn w:val="Normal"/>
    <w:next w:val="Normal"/>
    <w:qFormat/>
    <w:pPr>
      <w:spacing w:before="200" w:after="0"/>
      <w:ind w:left="360" w:right="360"/>
    </w:pPr>
    <w:rPr>
      <w:i/>
      <w:iCs/>
    </w:rPr>
  </w:style>
  <w:style w:type="paragraph" w:styleId="NoSpacing">
    <w:name w:val="No Spacing"/>
    <w:basedOn w:val="Normal"/>
    <w:qFormat/>
    <w:pPr>
      <w:spacing w:lineRule="auto" w:line="240" w:before="0" w:after="0"/>
    </w:pPr>
    <w:rPr/>
  </w:style>
  <w:style w:type="paragraph" w:styleId="Subtitle">
    <w:name w:val="Subtitle"/>
    <w:basedOn w:val="Normal"/>
    <w:next w:val="Normal"/>
    <w:qFormat/>
    <w:pPr>
      <w:spacing w:before="0" w:after="600"/>
    </w:pPr>
    <w:rPr>
      <w:rFonts w:ascii="Cambria" w:hAnsi="Cambria" w:eastAsia="Calibri" w:cs=""/>
      <w:i/>
      <w:iCs/>
      <w:spacing w:val="13"/>
      <w:sz w:val="24"/>
      <w:szCs w:val="24"/>
    </w:rPr>
  </w:style>
  <w:style w:type="paragraph" w:styleId="Title">
    <w:name w:val="Title"/>
    <w:basedOn w:val="Normal"/>
    <w:next w:val="Normal"/>
    <w:qFormat/>
    <w:pPr>
      <w:pBdr>
        <w:bottom w:val="single" w:sz="4" w:space="1" w:color="000000"/>
      </w:pBdr>
      <w:spacing w:lineRule="auto" w:line="240" w:before="0" w:after="200"/>
      <w:contextualSpacing/>
    </w:pPr>
    <w:rPr>
      <w:rFonts w:ascii="Cambria" w:hAnsi="Cambria" w:eastAsia="Calibri" w:cs=""/>
      <w:spacing w:val="5"/>
      <w:sz w:val="52"/>
      <w:szCs w:val="52"/>
    </w:rPr>
  </w:style>
  <w:style w:type="paragraph" w:styleId="IndexHeading">
    <w:name w:val="index heading"/>
    <w:basedOn w:val="Nagwek"/>
    <w:pPr>
      <w:suppressLineNumbers/>
      <w:ind w:hanging="0" w:left="0"/>
    </w:pPr>
    <w:rPr>
      <w:b/>
      <w:bCs/>
      <w:sz w:val="32"/>
      <w:szCs w:val="32"/>
    </w:rPr>
  </w:style>
  <w:style w:type="paragraph" w:styleId="TOCHeading">
    <w:name w:val="TOC Heading"/>
    <w:basedOn w:val="Heading1"/>
    <w:next w:val="Normal"/>
    <w:qFormat/>
    <w:pPr>
      <w:outlineLvl w:val="9"/>
    </w:pPr>
    <w:rPr/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FED6C6-2B97-41B7-BC45-46AB0C371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Application>LibreOffice/25.8.3.2$Windows_X86_64 LibreOffice_project/8ca8d55c161d602844f5428fa4b58097424e324e</Application>
  <AppVersion>15.0000</AppVersion>
  <Pages>4</Pages>
  <Words>1133</Words>
  <Characters>7207</Characters>
  <CharactersWithSpaces>8563</CharactersWithSpaces>
  <Paragraphs>86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2018-01-29T10:39:00Z</dcterms:created>
  <dc:creator>Asia</dc:creator>
  <dc:description/>
  <dc:language>pl-PL</dc:language>
  <cp:lastModifiedBy/>
  <cp:lastPrinted>2024-03-07T11:15:00Z</cp:lastPrinted>
  <dcterms:modified xsi:type="dcterms:W3CDTF">2026-02-20T09:52:17Z</dcterms:modified>
  <cp:revision>56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